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D2818" w14:textId="44AC14C1" w:rsidR="00313E06" w:rsidRDefault="005B2E8E" w:rsidP="00AA074C">
      <w:pPr>
        <w:ind w:leftChars="200" w:left="453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B1B1E9" wp14:editId="6902EDBE">
                <wp:simplePos x="0" y="0"/>
                <wp:positionH relativeFrom="column">
                  <wp:posOffset>4938395</wp:posOffset>
                </wp:positionH>
                <wp:positionV relativeFrom="paragraph">
                  <wp:posOffset>-424180</wp:posOffset>
                </wp:positionV>
                <wp:extent cx="962025" cy="3714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50E49" w14:textId="77777777" w:rsidR="005B2E8E" w:rsidRDefault="005B2E8E">
                            <w:r>
                              <w:rPr>
                                <w:rFonts w:hint="eastAsia"/>
                              </w:rPr>
                              <w:t>（別紙</w:t>
                            </w:r>
                            <w: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B1B1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8.85pt;margin-top:-33.4pt;width:75.75pt;height: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3j9qwIAAJoFAAAOAAAAZHJzL2Uyb0RvYy54bWysVM1u2zAMvg/YOwi6r85vuwZ1iqxFhwFF&#10;W6wdelZkqTEmi5qkxM6OCVDsIfYKw857Hr/IKNn5WddLh11sUvxIip9InpxWhSILYV0OOqXdgw4l&#10;QnPIcv2Q0k93F2/eUuI80xlToEVKl8LR0/HrVyelGYkezEBlwhIMot2oNCmdeW9GSeL4TBTMHYAR&#10;Go0SbME8qvYhySwrMXqhkl6nc5iUYDNjgQvn8PS8MdJxjC+l4P5aSic8USnFu/n4tfE7Dd9kfMJG&#10;D5aZWc7ba7B/uEXBco1Jt6HOmWdkbvO/QhU5t+BA+gMORQJS5lzEGrCabudJNbczZkSsBclxZkuT&#10;+39h+dXixpI8S2mfEs0KfKJ6/VivftSrX/X6G6nX3+v1ul79RJ30A12lcSP0ujXo56t3UOGzb84d&#10;HgYWKmmL8Mf6CNqR+OWWbFF5wvHw+LDX6Q0p4WjqH3UHR8MQJdk5G+v8ewEFCUJKLb5lpJgtLp1v&#10;oBtIyOVA5dlFrlRUQv+IM2XJguHLKx+viMH/QClNypQe9oedGFhDcG8iKx3CiNhBbbpQeFNglPxS&#10;iYBR+qOQyGCs85ncjHOht/kjOqAkpnqJY4vf3eolzk0d6BEzg/Zb5yLXYGP1ceR2lGWfN5TJBo9v&#10;s1d3EH01rdqGmEK2xH6w0AyYM/wix1e7ZM7fMIsThS2AW8Jf40cqQNahlSiZgf363HnAY6OjlZIS&#10;JzSl7sucWUGJ+qBxBI67g0EY6agMhkc9VOy+Zbpv0fPiDLAVuriPDI9iwHu1EaWF4h6XySRkRRPT&#10;HHOn1G/EM9/sDVxGXEwmEYRDbJi/1LeGh9CB3tCTd9U9s6ZtXI8dfwWbWWajJ/3bYIOnhsncg8xj&#10;cweCG1Zb4nEBxPFol1XYMPt6RO1W6vg3AAAA//8DAFBLAwQUAAYACAAAACEA5If2beEAAAAKAQAA&#10;DwAAAGRycy9kb3ducmV2LnhtbEyPT0+DQBDF7yZ+h82YeDHtIkTaIktjjH8SbxZt423LjkBkZwm7&#10;Bfz2jied28x7efN7+Xa2nRhx8K0jBdfLCARS5UxLtYK38nGxBuGDJqM7R6jgGz1si/OzXGfGTfSK&#10;4y7UgkPIZ1pBE0KfSemrBq32S9cjsfbpBqsDr0MtzaAnDredjKMolVa3xB8a3eN9g9XX7mQVfFzV&#10;hxc/P71PyU3SPzyP5WpvSqUuL+a7WxAB5/Bnhl98RoeCmY7uRMaLTsGKh60KFmnKHdixiTcxiCNf&#10;1gnIIpf/KxQ/AAAA//8DAFBLAQItABQABgAIAAAAIQC2gziS/gAAAOEBAAATAAAAAAAAAAAAAAAA&#10;AAAAAABbQ29udGVudF9UeXBlc10ueG1sUEsBAi0AFAAGAAgAAAAhADj9If/WAAAAlAEAAAsAAAAA&#10;AAAAAAAAAAAALwEAAF9yZWxzLy5yZWxzUEsBAi0AFAAGAAgAAAAhAM4reP2rAgAAmgUAAA4AAAAA&#10;AAAAAAAAAAAALgIAAGRycy9lMm9Eb2MueG1sUEsBAi0AFAAGAAgAAAAhAOSH9m3hAAAACgEAAA8A&#10;AAAAAAAAAAAAAAAABQUAAGRycy9kb3ducmV2LnhtbFBLBQYAAAAABAAEAPMAAAATBgAAAAA=&#10;" fillcolor="white [3201]" stroked="f" strokeweight=".5pt">
                <v:textbox>
                  <w:txbxContent>
                    <w:p w14:paraId="4E050E49" w14:textId="77777777" w:rsidR="005B2E8E" w:rsidRDefault="005B2E8E">
                      <w:r>
                        <w:rPr>
                          <w:rFonts w:hint="eastAsia"/>
                        </w:rPr>
                        <w:t>（別紙</w:t>
                      </w:r>
                      <w:r>
                        <w:t>１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A074C">
        <w:rPr>
          <w:rFonts w:hint="eastAsia"/>
        </w:rPr>
        <w:t>灯油の単価契約に係る変更契約協議方法</w:t>
      </w:r>
    </w:p>
    <w:p w14:paraId="3EA820C6" w14:textId="77777777" w:rsidR="00AA074C" w:rsidRDefault="00AA074C" w:rsidP="00AA074C"/>
    <w:p w14:paraId="52FE0FAA" w14:textId="77777777" w:rsidR="00AA074C" w:rsidRDefault="00AA074C" w:rsidP="00AA074C">
      <w:pPr>
        <w:ind w:firstLineChars="100" w:firstLine="227"/>
      </w:pPr>
      <w:r>
        <w:rPr>
          <w:rFonts w:hint="eastAsia"/>
        </w:rPr>
        <w:t>物品調達標準契約書第８条第１項に規定する「経済状況の激変により契約内容が著しく不適当</w:t>
      </w:r>
      <w:r w:rsidR="00037115">
        <w:rPr>
          <w:rFonts w:hint="eastAsia"/>
        </w:rPr>
        <w:t>と</w:t>
      </w:r>
      <w:r>
        <w:rPr>
          <w:rFonts w:hint="eastAsia"/>
        </w:rPr>
        <w:t>なったときの契約内容の変更」は、次のとおりとする。</w:t>
      </w:r>
    </w:p>
    <w:p w14:paraId="77ABCE63" w14:textId="77777777" w:rsidR="00B63E25" w:rsidRDefault="00FB6464" w:rsidP="00B63E2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77169" wp14:editId="4A066FA3">
                <wp:simplePos x="0" y="0"/>
                <wp:positionH relativeFrom="column">
                  <wp:posOffset>-62230</wp:posOffset>
                </wp:positionH>
                <wp:positionV relativeFrom="paragraph">
                  <wp:posOffset>125095</wp:posOffset>
                </wp:positionV>
                <wp:extent cx="5876925" cy="14097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40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258C4" id="正方形/長方形 4" o:spid="_x0000_s1026" style="position:absolute;left:0;text-align:left;margin-left:-4.9pt;margin-top:9.85pt;width:462.75pt;height:11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AWJrwIAAI8FAAAOAAAAZHJzL2Uyb0RvYy54bWysVM1uEzEQviPxDpbvdHejpD9RN1WUKgip&#10;aita1LPrtbsreT3GdrIJ7wEPAGfOiAOPQyXegrH3J1GpOCBy2Hg8M9/MfJ6Z07NNrchaWFeBzml2&#10;kFIiNIei0g85fXe7fHVMifNMF0yBFjndCkfPZi9fnDZmKkZQgiqEJQii3bQxOS29N9MkcbwUNXMH&#10;YIRGpQRbM4+ifUgKyxpEr1UyStPDpAFbGAtcOIe3562SziK+lIL7Kymd8ETlFHPz8Wvj9z58k9kp&#10;mz5YZsqKd2mwf8iiZpXGoAPUOfOMrGz1B1RdcQsOpD/gUCcgZcVFrAGrydIn1dyUzIhYC5LjzECT&#10;+3+w/HJ9bUlV5HRMiWY1PtHj1y+Pn77//PE5+fXxW3si40BUY9wU7W/Mte0kh8dQ9UbaOvxjPWQT&#10;yd0O5IqNJxwvJ8dHhyejCSUcddk4PTlKI/3Jzt1Y518LqEk45NTi60VS2frCeQyJpr1JiKZhWSkV&#10;X1DpcOFAVUW4i0JoIbFQlqwZPr7fZKEGhNizQil4JqGytpZ48lslAoTSb4VEcjD7UUwktuUOk3Eu&#10;tM9aVckK0YaapPjrg/VZxNARMCBLTHLA7gB6yxakx25z7uyDq4hdPTinf0usdR48YmTQfnCuKw32&#10;OQCFVXWRW/uepJaawNI9FFtsHQvtTDnDlxU+2wVz/ppZHCIcN1wM/go/UkGTU+hOlJRgPzx3H+yx&#10;t1FLSYNDmVP3fsWsoES90dj1J9l4HKY4CuPJ0QgFu6+539foVb0AfPoMV5Dh8RjsveqP0kJ9h/tj&#10;HqKiimmOsXPKve2FhW+XBW4gLubzaIaTa5i/0DeGB/DAamjL280ds6brXY9tfwn9ALPpkxZubYOn&#10;hvnKg6xif+947fjGqY+N022osFb25Wi126Oz3wAAAP//AwBQSwMEFAAGAAgAAAAhANLvg6PhAAAA&#10;CQEAAA8AAABkcnMvZG93bnJldi54bWxMj0FPwzAMhe9I/IfISFymLe0EjJamEwKBdkBIDDhwcxvT&#10;ljVJ1Xhb+feYE9z8/Kz3PhfryfXqQGPsgjeQLhJQ5OtgO98YeHt9mF+DiozeYh88GfimCOvy9KTA&#10;3Iajf6HDlhslIT7maKBlHnKtY92Sw7gIA3nxPsPokEWOjbYjHiXc9XqZJFfaYeelocWB7lqqd9u9&#10;M/Cxmbj5Sh/5aYez99mmrern+8qY87Pp9gYU08R/x/CLL+hQClMV9t5G1RuYZ0LOss9WoMTP0ksZ&#10;KgPLi3QFuiz0/w/KHwAAAP//AwBQSwECLQAUAAYACAAAACEAtoM4kv4AAADhAQAAEwAAAAAAAAAA&#10;AAAAAAAAAAAAW0NvbnRlbnRfVHlwZXNdLnhtbFBLAQItABQABgAIAAAAIQA4/SH/1gAAAJQBAAAL&#10;AAAAAAAAAAAAAAAAAC8BAABfcmVscy8ucmVsc1BLAQItABQABgAIAAAAIQDp8AWJrwIAAI8FAAAO&#10;AAAAAAAAAAAAAAAAAC4CAABkcnMvZTJvRG9jLnhtbFBLAQItABQABgAIAAAAIQDS74Oj4QAAAAkB&#10;AAAPAAAAAAAAAAAAAAAAAAkFAABkcnMvZG93bnJldi54bWxQSwUGAAAAAAQABADzAAAAFwYAAAAA&#10;" filled="f" strokecolor="black [3213]" strokeweight="1pt"/>
            </w:pict>
          </mc:Fallback>
        </mc:AlternateContent>
      </w:r>
    </w:p>
    <w:p w14:paraId="15199FCF" w14:textId="77777777" w:rsidR="00B63E25" w:rsidRDefault="006F043A" w:rsidP="00B63E25">
      <w:r>
        <w:rPr>
          <w:rFonts w:hint="eastAsia"/>
        </w:rPr>
        <w:t xml:space="preserve">　変更協議時において</w:t>
      </w:r>
    </w:p>
    <w:p w14:paraId="131474C9" w14:textId="77777777" w:rsidR="006F043A" w:rsidRPr="00AA074C" w:rsidRDefault="006F043A" w:rsidP="00B63E2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8024D" wp14:editId="4BAD2DEC">
                <wp:simplePos x="0" y="0"/>
                <wp:positionH relativeFrom="column">
                  <wp:posOffset>1381125</wp:posOffset>
                </wp:positionH>
                <wp:positionV relativeFrom="paragraph">
                  <wp:posOffset>193040</wp:posOffset>
                </wp:positionV>
                <wp:extent cx="0" cy="294640"/>
                <wp:effectExtent l="0" t="0" r="19050" b="2921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E352D" id="直線コネクタ 2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5pt,15.2pt" to="108.7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tl7QEAAJIDAAAOAAAAZHJzL2Uyb0RvYy54bWysU81uEzEQviPxDpbvZNNVVcoqmx4aFQ4I&#10;IlEeYOq1s5b8J4/JJtdw5gXgITiAxLEPk0Nfg7E3RKG9IfZg2TP2N/N98+3samMNW8uI2ruWn02m&#10;nEknfKfdquUfb29eXHKGCVwHxjvZ8q1EfjV//mw2hEbWvvemk5ERiMNmCC3vUwpNVaHopQWc+CAd&#10;JZWPFhId46rqIgyEbk1VT6cX1eBjF6IXEpGiizHJ5wVfKSnSe6VQJmZaTr2lssay3uW1ms+gWUUI&#10;vRaHNuAfurCgHRU9Qi0gAfsU9RMoq0X06FWaCG8rr5QWsnAgNmfTR2w+9BBk4ULiYDjKhP8PVrxb&#10;LyPTXctrzhxYGtHDt58Pv77udz/2n7/sd9/3u3tWZ52GgA1dv3bLeDhhWMZMeqOiZcro8IYsUGQg&#10;YmxTVN4eVZabxMQYFBStX51fnJcBVCNCRgoR02vpLcublhvtMn9oYP0WE1Wlq3+u5LDzN9qYMkPj&#10;2EDV65dTGrMAspIykGhrA5FDt+IMzIo8KlIskOiN7vLzDIRbvDaRrYFsQu7q/HBL7XJmABMliEP5&#10;sgzUwl9Pcz8LwH58XFKjq6xOZG2jbcsvT18blyvKYs4DqyztKGbe3fluWzSu8okGX4oeTJqddXqm&#10;/emvNP8NAAD//wMAUEsDBBQABgAIAAAAIQCJ+e3L2wAAAAkBAAAPAAAAZHJzL2Rvd25yZXYueG1s&#10;TI/BbsIwDIbvk/YOkZG4jRQGtCp1EWJiOwN7gNCYpqJxuiZAeftl2mE72v70+/uL9WBbcaPeN44R&#10;ppMEBHHldMM1wudx95KB8EGxVq1jQniQh3X5/FSoXLs77+l2CLWIIexzhWBC6HIpfWXIKj9xHXG8&#10;nV1vVYhjX0vdq3sMt62cJclSWtVw/GBUR1tD1eVwtQjbnf7YuLd0/559aTbuaObVYkAcj4bNCkSg&#10;IfzB8KMf1aGMTid3Ze1FizCbpouIIrwmcxAR+F2cENJlBrIs5P8G5TcAAAD//wMAUEsBAi0AFAAG&#10;AAgAAAAhALaDOJL+AAAA4QEAABMAAAAAAAAAAAAAAAAAAAAAAFtDb250ZW50X1R5cGVzXS54bWxQ&#10;SwECLQAUAAYACAAAACEAOP0h/9YAAACUAQAACwAAAAAAAAAAAAAAAAAvAQAAX3JlbHMvLnJlbHNQ&#10;SwECLQAUAAYACAAAACEA7WLLZe0BAACSAwAADgAAAAAAAAAAAAAAAAAuAgAAZHJzL2Uyb0RvYy54&#10;bWxQSwECLQAUAAYACAAAACEAifnty9sAAAAJAQAADwAAAAAAAAAAAAAAAABHBAAAZHJzL2Rvd25y&#10;ZXYueG1sUEsFBgAAAAAEAAQA8wAAAE8FAAAAAA==&#10;" strokecolor="windowText" strokeweight="1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78A6E" wp14:editId="7B1673AD">
                <wp:simplePos x="0" y="0"/>
                <wp:positionH relativeFrom="column">
                  <wp:posOffset>309245</wp:posOffset>
                </wp:positionH>
                <wp:positionV relativeFrom="paragraph">
                  <wp:posOffset>194945</wp:posOffset>
                </wp:positionV>
                <wp:extent cx="0" cy="294640"/>
                <wp:effectExtent l="0" t="0" r="19050" b="2921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7FD23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5pt,15.35pt" to="24.3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ho+9QEAABYEAAAOAAAAZHJzL2Uyb0RvYy54bWysU82O0zAQviPxDpbvNGm1WiBquoddLRwQ&#10;VPw8gNcZN5b8J9s06bWceQF4CA4gceRhetjXYOyk6e5yAnGx4vF838z3zWR50WtFtuCDtKam81lJ&#10;CRhuG2k2Nf3w/vrJM0pCZKZhyhqo6Q4CvVg9frTsXAUL21rVgCdIYkLVuZq2MbqqKAJvQbMwsw4M&#10;PgrrNYt49Zui8axDdq2KRVmeF531jfOWQwgYvRoe6SrzCwE8vhEiQCSqpthbzKfP5006i9WSVRvP&#10;XCv52Ab7hy40kwaLTlRXLDLy0cs/qLTk3gYr4oxbXVghJIesAdXMywdq3rXMQdaC5gQ32RT+Hy1/&#10;vV17IhucHSWGaRzR7dcftz+/HPbfD58+H/bfDvtfZJ586lyoMP3SrP14C27tk+heeE2Eku5lokkR&#10;FEb67PJuchn6SPgQ5BhdPD87P8sDKAaGhHM+xBdgNUkfNVXSJP2sYttXIWJVTD2mpLAypMOSi6dl&#10;mdOCVbK5lkqlx7xDcKk82TKcfuyzCmS4k4U3ZZA2aRvU5K+4UzDwvwWB7mDXg64HnIxzMPHIqwxm&#10;J5jADibg2Fla6FMz94FjfoJC3tm/AU+IXNmaOIG1NNYPvtyvfrJCDPlHBwbdyYIb2+zynLM1uHzZ&#10;+/FHSdt9957hp9959RsAAP//AwBQSwMEFAAGAAgAAAAhAOSpv+3bAAAABwEAAA8AAABkcnMvZG93&#10;bnJldi54bWxMjsFOwzAQRO9I/IO1SNyoEyBNFbKpCig3pKqFA9zc2E0i4nVkO234exYucBqNZjTz&#10;yvVsB3EyPvSOENJFAsJQ43RPLcLba32zAhGiIq0GRwbhywRYV5cXpSq0O9POnPaxFTxCoVAIXYxj&#10;IWVoOmNVWLjREGdH562KbH0rtVdnHreDvE2SpbSqJ37o1GieOtN87ieLsH3ZppsPNy6P71k2ZY++&#10;ls+hRry+mjcPIKKZ418ZfvAZHSpmOriJdBADwv0q5ybCXcLK+a8/IOR5CrIq5X/+6hsAAP//AwBQ&#10;SwECLQAUAAYACAAAACEAtoM4kv4AAADhAQAAEwAAAAAAAAAAAAAAAAAAAAAAW0NvbnRlbnRfVHlw&#10;ZXNdLnhtbFBLAQItABQABgAIAAAAIQA4/SH/1gAAAJQBAAALAAAAAAAAAAAAAAAAAC8BAABfcmVs&#10;cy8ucmVsc1BLAQItABQABgAIAAAAIQDe6ho+9QEAABYEAAAOAAAAAAAAAAAAAAAAAC4CAABkcnMv&#10;ZTJvRG9jLnhtbFBLAQItABQABgAIAAAAIQDkqb/t2wAAAAcBAAAPAAAAAAAAAAAAAAAAAE8EAABk&#10;cnMvZG93bnJldi54bWxQSwUGAAAAAAQABADzAAAAVwUAAAAA&#10;" strokecolor="black [3213]" strokeweight="1pt">
                <v:stroke joinstyle="miter"/>
              </v:line>
            </w:pict>
          </mc:Fallback>
        </mc:AlternateContent>
      </w:r>
    </w:p>
    <w:p w14:paraId="12D0F96C" w14:textId="77777777" w:rsidR="00AA074C" w:rsidRDefault="006F043A" w:rsidP="00AA074C">
      <w:r>
        <w:rPr>
          <w:rFonts w:hint="eastAsia"/>
        </w:rPr>
        <w:t xml:space="preserve">　　　Ｆ</w:t>
      </w:r>
      <w:r w:rsidRPr="006F043A">
        <w:rPr>
          <w:rFonts w:hint="eastAsia"/>
          <w:sz w:val="16"/>
        </w:rPr>
        <w:t>３</w:t>
      </w:r>
      <w:r>
        <w:rPr>
          <w:rFonts w:hint="eastAsia"/>
          <w:sz w:val="16"/>
        </w:rPr>
        <w:t xml:space="preserve">　―　</w:t>
      </w:r>
      <w:r>
        <w:rPr>
          <w:rFonts w:hint="eastAsia"/>
        </w:rPr>
        <w:t>Ｆ</w:t>
      </w:r>
      <w:r>
        <w:rPr>
          <w:rFonts w:hint="eastAsia"/>
          <w:sz w:val="16"/>
        </w:rPr>
        <w:t xml:space="preserve">２　　</w:t>
      </w:r>
      <w:r w:rsidRPr="006F043A">
        <w:rPr>
          <w:rFonts w:hint="eastAsia"/>
        </w:rPr>
        <w:t xml:space="preserve">　</w:t>
      </w:r>
      <w:r>
        <w:rPr>
          <w:rFonts w:hint="eastAsia"/>
        </w:rPr>
        <w:t>≧　３　の場合は、次の式のとおり単価を変更する。</w:t>
      </w:r>
    </w:p>
    <w:p w14:paraId="75FD52C3" w14:textId="77777777" w:rsidR="006F043A" w:rsidRDefault="006F043A" w:rsidP="00AA074C"/>
    <w:p w14:paraId="125CFB54" w14:textId="742871D8" w:rsidR="006F043A" w:rsidRDefault="006F043A" w:rsidP="00AA074C">
      <w:r>
        <w:rPr>
          <w:rFonts w:hint="eastAsia"/>
        </w:rPr>
        <w:t xml:space="preserve">　　　変更契約単価　＝　Ａ　×　１．１０</w:t>
      </w:r>
    </w:p>
    <w:p w14:paraId="14227BFE" w14:textId="77777777" w:rsidR="004F7697" w:rsidRDefault="004F7697" w:rsidP="00AA074C"/>
    <w:p w14:paraId="43090A42" w14:textId="77777777" w:rsidR="00EC3D1C" w:rsidRDefault="00EC3D1C" w:rsidP="00AA074C"/>
    <w:p w14:paraId="25F7AB83" w14:textId="4CDB64E9" w:rsidR="00EC3D1C" w:rsidRDefault="006F043A" w:rsidP="00AA074C">
      <w:r>
        <w:rPr>
          <w:rFonts w:hint="eastAsia"/>
        </w:rPr>
        <w:t>(注１)　Ａ：</w:t>
      </w:r>
      <w:r w:rsidR="00EC3D1C">
        <w:rPr>
          <w:rFonts w:hint="eastAsia"/>
        </w:rPr>
        <w:t xml:space="preserve"> </w:t>
      </w:r>
      <w:r>
        <w:rPr>
          <w:rFonts w:hint="eastAsia"/>
        </w:rPr>
        <w:t>Ｆ</w:t>
      </w:r>
      <w:r w:rsidRPr="006F043A">
        <w:rPr>
          <w:rFonts w:hint="eastAsia"/>
          <w:sz w:val="16"/>
        </w:rPr>
        <w:t>３</w:t>
      </w:r>
      <w:r>
        <w:rPr>
          <w:rFonts w:hint="eastAsia"/>
        </w:rPr>
        <w:t>×Ｐ／Ｆ</w:t>
      </w:r>
      <w:r w:rsidR="00972CB2">
        <w:rPr>
          <w:rFonts w:hint="eastAsia"/>
          <w:sz w:val="16"/>
        </w:rPr>
        <w:t>１</w:t>
      </w:r>
      <w:r w:rsidRPr="00972CB2">
        <w:rPr>
          <w:rFonts w:hint="eastAsia"/>
        </w:rPr>
        <w:t>とする</w:t>
      </w:r>
      <w:r w:rsidR="00972CB2" w:rsidRPr="00972CB2">
        <w:rPr>
          <w:rFonts w:hint="eastAsia"/>
        </w:rPr>
        <w:t>。</w:t>
      </w:r>
    </w:p>
    <w:p w14:paraId="09FB74C7" w14:textId="3966CADA" w:rsidR="00972CB2" w:rsidRDefault="00972CB2" w:rsidP="00EC3D1C">
      <w:pPr>
        <w:ind w:firstLineChars="650" w:firstLine="1474"/>
      </w:pPr>
      <w:r>
        <w:rPr>
          <w:rFonts w:hint="eastAsia"/>
        </w:rPr>
        <w:t>（ただし、Ｐ／Ｆ</w:t>
      </w:r>
      <w:r w:rsidRPr="00972CB2">
        <w:rPr>
          <w:rFonts w:hint="eastAsia"/>
          <w:sz w:val="16"/>
          <w:szCs w:val="16"/>
        </w:rPr>
        <w:t>１</w:t>
      </w:r>
      <w:r w:rsidRPr="00972CB2">
        <w:rPr>
          <w:rFonts w:hint="eastAsia"/>
        </w:rPr>
        <w:t>≧</w:t>
      </w:r>
      <w:r>
        <w:rPr>
          <w:rFonts w:hint="eastAsia"/>
        </w:rPr>
        <w:t>１の場合は、Ａ＝Ｆ</w:t>
      </w:r>
      <w:r w:rsidRPr="00972CB2">
        <w:rPr>
          <w:rFonts w:hint="eastAsia"/>
          <w:sz w:val="16"/>
          <w:szCs w:val="16"/>
        </w:rPr>
        <w:t>３</w:t>
      </w:r>
      <w:r>
        <w:rPr>
          <w:rFonts w:hint="eastAsia"/>
        </w:rPr>
        <w:t>とする。</w:t>
      </w:r>
      <w:r w:rsidR="00C70604">
        <w:rPr>
          <w:rFonts w:hint="eastAsia"/>
        </w:rPr>
        <w:t>）</w:t>
      </w:r>
    </w:p>
    <w:p w14:paraId="0508A956" w14:textId="77777777" w:rsidR="00EC3D1C" w:rsidRDefault="00EC3D1C" w:rsidP="00EC3D1C">
      <w:pPr>
        <w:ind w:firstLineChars="650" w:firstLine="1474"/>
      </w:pPr>
    </w:p>
    <w:p w14:paraId="0EBB9DEF" w14:textId="39011ADC" w:rsidR="00972CB2" w:rsidRDefault="00972CB2" w:rsidP="00972CB2">
      <w:pPr>
        <w:ind w:left="1587" w:hangingChars="700" w:hanging="1587"/>
      </w:pPr>
      <w:r>
        <w:rPr>
          <w:rFonts w:hint="eastAsia"/>
        </w:rPr>
        <w:t xml:space="preserve">　　　　Ｆ：</w:t>
      </w:r>
      <w:r w:rsidR="00EC3D1C">
        <w:rPr>
          <w:rFonts w:hint="eastAsia"/>
        </w:rPr>
        <w:t xml:space="preserve"> </w:t>
      </w:r>
      <w:r>
        <w:rPr>
          <w:rFonts w:hint="eastAsia"/>
        </w:rPr>
        <w:t>一般財団法人日本エネルギー経済研究所石油情報センターが実施する石油製品価格調査（給油所小売価格調査）（週次調査）の長野県価格（以下「石油情報センター長野県価格」という。）</w:t>
      </w:r>
    </w:p>
    <w:p w14:paraId="4EA690AC" w14:textId="7A703166" w:rsidR="00972CB2" w:rsidRDefault="00972CB2" w:rsidP="00AA074C">
      <w:r>
        <w:rPr>
          <w:rFonts w:hint="eastAsia"/>
        </w:rPr>
        <w:t xml:space="preserve">　　　　Ｆ</w:t>
      </w:r>
      <w:r w:rsidRPr="009C7F58">
        <w:rPr>
          <w:rFonts w:hint="eastAsia"/>
          <w:sz w:val="16"/>
          <w:szCs w:val="16"/>
        </w:rPr>
        <w:t>１</w:t>
      </w:r>
      <w:r>
        <w:rPr>
          <w:rFonts w:hint="eastAsia"/>
        </w:rPr>
        <w:t>：</w:t>
      </w:r>
      <w:r w:rsidR="00EC3D1C">
        <w:rPr>
          <w:rFonts w:hint="eastAsia"/>
        </w:rPr>
        <w:t xml:space="preserve"> </w:t>
      </w:r>
      <w:r>
        <w:rPr>
          <w:rFonts w:hint="eastAsia"/>
        </w:rPr>
        <w:t>入札が行われた月の第３月曜日調査の石油情報センター長野県価格</w:t>
      </w:r>
    </w:p>
    <w:p w14:paraId="6708EED3" w14:textId="3D242132" w:rsidR="00972CB2" w:rsidRDefault="00972CB2" w:rsidP="00AA074C">
      <w:r>
        <w:rPr>
          <w:rFonts w:hint="eastAsia"/>
        </w:rPr>
        <w:t xml:space="preserve">　　　　Ｆ</w:t>
      </w:r>
      <w:r w:rsidRPr="009C7F58">
        <w:rPr>
          <w:rFonts w:hint="eastAsia"/>
          <w:sz w:val="16"/>
          <w:szCs w:val="16"/>
        </w:rPr>
        <w:t>２</w:t>
      </w:r>
      <w:r>
        <w:rPr>
          <w:rFonts w:hint="eastAsia"/>
        </w:rPr>
        <w:t>：</w:t>
      </w:r>
      <w:r w:rsidR="00EC3D1C">
        <w:rPr>
          <w:rFonts w:hint="eastAsia"/>
        </w:rPr>
        <w:t xml:space="preserve"> </w:t>
      </w:r>
      <w:r>
        <w:rPr>
          <w:rFonts w:hint="eastAsia"/>
        </w:rPr>
        <w:t>前回変更協議時点の石油情報センター長野県価格</w:t>
      </w:r>
    </w:p>
    <w:p w14:paraId="5CBEF469" w14:textId="77777777" w:rsidR="00972CB2" w:rsidRDefault="00972CB2" w:rsidP="00AA074C">
      <w:r>
        <w:rPr>
          <w:rFonts w:hint="eastAsia"/>
        </w:rPr>
        <w:t xml:space="preserve">　　　　　　　ただし、初回協議時はＦ</w:t>
      </w:r>
      <w:r w:rsidRPr="00FB6464">
        <w:rPr>
          <w:rFonts w:hint="eastAsia"/>
          <w:sz w:val="16"/>
          <w:szCs w:val="16"/>
        </w:rPr>
        <w:t>１</w:t>
      </w:r>
      <w:r>
        <w:rPr>
          <w:rFonts w:hint="eastAsia"/>
        </w:rPr>
        <w:t>と同じ価格（Ｆ</w:t>
      </w:r>
      <w:r w:rsidRPr="005B2E8E">
        <w:rPr>
          <w:rFonts w:hint="eastAsia"/>
          <w:sz w:val="16"/>
          <w:szCs w:val="16"/>
        </w:rPr>
        <w:t>２</w:t>
      </w:r>
      <w:r>
        <w:rPr>
          <w:rFonts w:hint="eastAsia"/>
        </w:rPr>
        <w:t>＝Ｆ</w:t>
      </w:r>
      <w:r w:rsidRPr="005B2E8E">
        <w:rPr>
          <w:rFonts w:hint="eastAsia"/>
          <w:sz w:val="16"/>
          <w:szCs w:val="16"/>
        </w:rPr>
        <w:t>１</w:t>
      </w:r>
      <w:r>
        <w:rPr>
          <w:rFonts w:hint="eastAsia"/>
        </w:rPr>
        <w:t>）とする。</w:t>
      </w:r>
    </w:p>
    <w:p w14:paraId="24B33F3B" w14:textId="2E1A60D8" w:rsidR="00972CB2" w:rsidRDefault="00972CB2" w:rsidP="00AA074C">
      <w:r>
        <w:rPr>
          <w:rFonts w:hint="eastAsia"/>
        </w:rPr>
        <w:t xml:space="preserve">　　　　Ｆ</w:t>
      </w:r>
      <w:r w:rsidRPr="009C7F58">
        <w:rPr>
          <w:rFonts w:hint="eastAsia"/>
          <w:sz w:val="16"/>
          <w:szCs w:val="16"/>
        </w:rPr>
        <w:t>３</w:t>
      </w:r>
      <w:r>
        <w:rPr>
          <w:rFonts w:hint="eastAsia"/>
        </w:rPr>
        <w:t>：</w:t>
      </w:r>
      <w:r w:rsidR="00EC3D1C">
        <w:rPr>
          <w:rFonts w:hint="eastAsia"/>
        </w:rPr>
        <w:t xml:space="preserve"> </w:t>
      </w:r>
      <w:r w:rsidR="009C7F58">
        <w:rPr>
          <w:rFonts w:hint="eastAsia"/>
        </w:rPr>
        <w:t>変更協議時点の石油情報センター長野県価格</w:t>
      </w:r>
    </w:p>
    <w:p w14:paraId="0B8D812B" w14:textId="5AEDE99F" w:rsidR="009C7F58" w:rsidRDefault="009C7F58" w:rsidP="00AA074C">
      <w:r>
        <w:rPr>
          <w:rFonts w:hint="eastAsia"/>
        </w:rPr>
        <w:t xml:space="preserve">　　　　Ｐ</w:t>
      </w:r>
      <w:r w:rsidR="00EC3D1C">
        <w:t xml:space="preserve"> </w:t>
      </w:r>
      <w:r>
        <w:rPr>
          <w:rFonts w:hint="eastAsia"/>
        </w:rPr>
        <w:t>：</w:t>
      </w:r>
      <w:r w:rsidR="00EC3D1C">
        <w:rPr>
          <w:rFonts w:hint="eastAsia"/>
        </w:rPr>
        <w:t xml:space="preserve"> </w:t>
      </w:r>
      <w:r>
        <w:rPr>
          <w:rFonts w:hint="eastAsia"/>
        </w:rPr>
        <w:t>入札額</w:t>
      </w:r>
    </w:p>
    <w:p w14:paraId="4EA11414" w14:textId="77777777" w:rsidR="009C7F58" w:rsidRDefault="009C7F58" w:rsidP="009C7F58">
      <w:pPr>
        <w:ind w:left="1134" w:hangingChars="500" w:hanging="1134"/>
      </w:pPr>
      <w:r>
        <w:rPr>
          <w:rFonts w:hint="eastAsia"/>
        </w:rPr>
        <w:t xml:space="preserve">　　　　（Ａ</w:t>
      </w:r>
      <w:r w:rsidR="00697734">
        <w:rPr>
          <w:rFonts w:hint="eastAsia"/>
        </w:rPr>
        <w:t>、</w:t>
      </w:r>
      <w:r>
        <w:rPr>
          <w:rFonts w:hint="eastAsia"/>
        </w:rPr>
        <w:t>Ｆ（Ｆ</w:t>
      </w:r>
      <w:r w:rsidRPr="005B2E8E">
        <w:rPr>
          <w:rFonts w:hint="eastAsia"/>
          <w:sz w:val="16"/>
          <w:szCs w:val="16"/>
        </w:rPr>
        <w:t>１</w:t>
      </w:r>
      <w:r w:rsidR="00697734" w:rsidRPr="00697734">
        <w:rPr>
          <w:rFonts w:hint="eastAsia"/>
        </w:rPr>
        <w:t>、</w:t>
      </w:r>
      <w:r>
        <w:rPr>
          <w:rFonts w:hint="eastAsia"/>
        </w:rPr>
        <w:t>Ｆ</w:t>
      </w:r>
      <w:r w:rsidRPr="005B2E8E">
        <w:rPr>
          <w:rFonts w:hint="eastAsia"/>
          <w:sz w:val="16"/>
          <w:szCs w:val="16"/>
        </w:rPr>
        <w:t>２</w:t>
      </w:r>
      <w:r>
        <w:rPr>
          <w:rFonts w:hint="eastAsia"/>
        </w:rPr>
        <w:t>、Ｆ</w:t>
      </w:r>
      <w:r w:rsidRPr="005B2E8E">
        <w:rPr>
          <w:rFonts w:hint="eastAsia"/>
          <w:sz w:val="16"/>
          <w:szCs w:val="16"/>
        </w:rPr>
        <w:t>３</w:t>
      </w:r>
      <w:r>
        <w:rPr>
          <w:rFonts w:hint="eastAsia"/>
        </w:rPr>
        <w:t>）、Ｐは全て消費税抜きとし、端数がある場合は10銭未満切捨てとする。）</w:t>
      </w:r>
    </w:p>
    <w:p w14:paraId="148C2BB8" w14:textId="77777777" w:rsidR="009C7F58" w:rsidRDefault="009C7F58" w:rsidP="009C7F58">
      <w:pPr>
        <w:ind w:left="680" w:hangingChars="300" w:hanging="680"/>
      </w:pPr>
    </w:p>
    <w:p w14:paraId="6075ED43" w14:textId="77777777" w:rsidR="009C7F58" w:rsidRDefault="009C7F58" w:rsidP="009C7F58">
      <w:pPr>
        <w:ind w:left="680" w:hangingChars="300" w:hanging="680"/>
      </w:pPr>
      <w:r>
        <w:rPr>
          <w:rFonts w:hint="eastAsia"/>
        </w:rPr>
        <w:t>（注２）変更協議の時点は、毎月第３月曜日調査の石油情報センター長野県価格の公表日とする。（第３月曜日に調査が行われなかった場合は、その直後の調査の公表日とする。）ただし、その日から起算して月末までの日数が５日間（長野県の休日を定める条例（平成元年長野県規則第５号）第１条に規定する県の休日を除く）ない場合は、その直前の調査の公表日とする。</w:t>
      </w:r>
    </w:p>
    <w:p w14:paraId="271BFEC1" w14:textId="77777777" w:rsidR="009C7F58" w:rsidRDefault="009C7F58" w:rsidP="009C7F58">
      <w:pPr>
        <w:ind w:left="453" w:hangingChars="200" w:hanging="453"/>
      </w:pPr>
    </w:p>
    <w:p w14:paraId="7808FCAA" w14:textId="77777777" w:rsidR="009C7F58" w:rsidRPr="009C7F58" w:rsidRDefault="009C7F58" w:rsidP="009C7F58">
      <w:pPr>
        <w:ind w:leftChars="33" w:left="755" w:hangingChars="300" w:hanging="680"/>
      </w:pPr>
      <w:r>
        <w:rPr>
          <w:rFonts w:hint="eastAsia"/>
        </w:rPr>
        <w:t>（注３）変更契約の必要が生じた場合、発注者は、変更内容を受注者に通知し、翌月の１日付けで変更契約を締結する。</w:t>
      </w:r>
      <w:r w:rsidR="00037115">
        <w:rPr>
          <w:rFonts w:hint="eastAsia"/>
        </w:rPr>
        <w:t>同月中は再度の契約変更は行わない。</w:t>
      </w:r>
    </w:p>
    <w:p w14:paraId="0BD1FBB3" w14:textId="77777777" w:rsidR="006F043A" w:rsidRPr="006F043A" w:rsidRDefault="006F043A" w:rsidP="00AA074C"/>
    <w:sectPr w:rsidR="006F043A" w:rsidRPr="006F043A" w:rsidSect="00B9417D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D5A37" w14:textId="77777777" w:rsidR="00927B03" w:rsidRDefault="00927B03" w:rsidP="00C26DAA">
      <w:r>
        <w:separator/>
      </w:r>
    </w:p>
  </w:endnote>
  <w:endnote w:type="continuationSeparator" w:id="0">
    <w:p w14:paraId="338ECA40" w14:textId="77777777" w:rsidR="00927B03" w:rsidRDefault="00927B03" w:rsidP="00C2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0AC42" w14:textId="77777777" w:rsidR="00927B03" w:rsidRDefault="00927B03" w:rsidP="00C26DAA">
      <w:r>
        <w:separator/>
      </w:r>
    </w:p>
  </w:footnote>
  <w:footnote w:type="continuationSeparator" w:id="0">
    <w:p w14:paraId="6FCA5F52" w14:textId="77777777" w:rsidR="00927B03" w:rsidRDefault="00927B03" w:rsidP="00C26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1CA"/>
    <w:multiLevelType w:val="hybridMultilevel"/>
    <w:tmpl w:val="E6E804FA"/>
    <w:lvl w:ilvl="0" w:tplc="AC84E3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70C7A"/>
    <w:multiLevelType w:val="hybridMultilevel"/>
    <w:tmpl w:val="C0864DF8"/>
    <w:lvl w:ilvl="0" w:tplc="5532D9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8F6FE5"/>
    <w:multiLevelType w:val="hybridMultilevel"/>
    <w:tmpl w:val="6D802F0C"/>
    <w:lvl w:ilvl="0" w:tplc="5532D916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7D"/>
    <w:rsid w:val="00037115"/>
    <w:rsid w:val="0005213B"/>
    <w:rsid w:val="00056941"/>
    <w:rsid w:val="000A11E7"/>
    <w:rsid w:val="00125A28"/>
    <w:rsid w:val="001514C9"/>
    <w:rsid w:val="00156577"/>
    <w:rsid w:val="001C75BD"/>
    <w:rsid w:val="00220EF7"/>
    <w:rsid w:val="00253E55"/>
    <w:rsid w:val="00313E06"/>
    <w:rsid w:val="00466D06"/>
    <w:rsid w:val="004814D5"/>
    <w:rsid w:val="004F7697"/>
    <w:rsid w:val="005048E6"/>
    <w:rsid w:val="00552E69"/>
    <w:rsid w:val="005B2E8E"/>
    <w:rsid w:val="00697734"/>
    <w:rsid w:val="006E5BF6"/>
    <w:rsid w:val="006F043A"/>
    <w:rsid w:val="00740F1C"/>
    <w:rsid w:val="008B72F3"/>
    <w:rsid w:val="00927B03"/>
    <w:rsid w:val="00972CB2"/>
    <w:rsid w:val="009C7F58"/>
    <w:rsid w:val="00AA074C"/>
    <w:rsid w:val="00AC6C1B"/>
    <w:rsid w:val="00B63E25"/>
    <w:rsid w:val="00B74D80"/>
    <w:rsid w:val="00B9417D"/>
    <w:rsid w:val="00C16050"/>
    <w:rsid w:val="00C26DAA"/>
    <w:rsid w:val="00C70604"/>
    <w:rsid w:val="00D10E42"/>
    <w:rsid w:val="00D76DC7"/>
    <w:rsid w:val="00DA7E24"/>
    <w:rsid w:val="00DE4031"/>
    <w:rsid w:val="00E513B0"/>
    <w:rsid w:val="00EC3D1C"/>
    <w:rsid w:val="00EC7A4F"/>
    <w:rsid w:val="00FB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8D7A27"/>
  <w15:chartTrackingRefBased/>
  <w15:docId w15:val="{BDD762E4-FEF6-4269-B871-A8E3758F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17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D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DAA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C26D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DAA"/>
    <w:rPr>
      <w:rFonts w:ascii="ＭＳ 明朝" w:eastAsia="ＭＳ 明朝"/>
      <w:sz w:val="22"/>
    </w:rPr>
  </w:style>
  <w:style w:type="paragraph" w:styleId="a7">
    <w:name w:val="List Paragraph"/>
    <w:basedOn w:val="a"/>
    <w:uiPriority w:val="34"/>
    <w:qFormat/>
    <w:rsid w:val="00DE403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B6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646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EC3D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2A879-5143-4C87-AE3E-FF1C325A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藤井　英一</cp:lastModifiedBy>
  <cp:revision>4</cp:revision>
  <cp:lastPrinted>2022-10-17T01:45:00Z</cp:lastPrinted>
  <dcterms:created xsi:type="dcterms:W3CDTF">2022-10-14T09:40:00Z</dcterms:created>
  <dcterms:modified xsi:type="dcterms:W3CDTF">2022-10-17T02:36:00Z</dcterms:modified>
</cp:coreProperties>
</file>