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FCF8" w14:textId="3A4D06EA" w:rsidR="006479BB" w:rsidRPr="007D561E" w:rsidRDefault="006479BB" w:rsidP="006479BB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（様式第６号の４）第</w:t>
      </w:r>
      <w:r w:rsidR="003A615A">
        <w:rPr>
          <w:rFonts w:ascii="ＭＳ 明朝" w:eastAsia="ＭＳ 明朝" w:hAnsi="ＭＳ 明朝" w:hint="eastAsia"/>
        </w:rPr>
        <w:t>11</w:t>
      </w:r>
      <w:r w:rsidR="00290890" w:rsidRPr="007D561E">
        <w:rPr>
          <w:rFonts w:ascii="ＭＳ 明朝" w:eastAsia="ＭＳ 明朝" w:hAnsi="ＭＳ 明朝" w:hint="eastAsia"/>
        </w:rPr>
        <w:t>、第</w:t>
      </w:r>
      <w:r w:rsidR="003A615A">
        <w:rPr>
          <w:rFonts w:ascii="ＭＳ 明朝" w:eastAsia="ＭＳ 明朝" w:hAnsi="ＭＳ 明朝" w:hint="eastAsia"/>
        </w:rPr>
        <w:t>15</w:t>
      </w:r>
      <w:r w:rsidRPr="007D561E">
        <w:rPr>
          <w:rFonts w:ascii="ＭＳ 明朝" w:eastAsia="ＭＳ 明朝" w:hAnsi="ＭＳ 明朝" w:hint="eastAsia"/>
        </w:rPr>
        <w:t>関係</w:t>
      </w:r>
    </w:p>
    <w:p w14:paraId="76A27867" w14:textId="78BFA295" w:rsidR="006479BB" w:rsidRPr="007D561E" w:rsidRDefault="006479BB" w:rsidP="006479BB">
      <w:pPr>
        <w:widowControl/>
        <w:spacing w:afterLines="50" w:after="180"/>
        <w:jc w:val="center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取得財産等管理台帳</w:t>
      </w:r>
    </w:p>
    <w:tbl>
      <w:tblPr>
        <w:tblStyle w:val="a8"/>
        <w:tblW w:w="14312" w:type="dxa"/>
        <w:tblLook w:val="04A0" w:firstRow="1" w:lastRow="0" w:firstColumn="1" w:lastColumn="0" w:noHBand="0" w:noVBand="1"/>
      </w:tblPr>
      <w:tblGrid>
        <w:gridCol w:w="988"/>
        <w:gridCol w:w="1614"/>
        <w:gridCol w:w="1788"/>
        <w:gridCol w:w="814"/>
        <w:gridCol w:w="1301"/>
        <w:gridCol w:w="1301"/>
        <w:gridCol w:w="1301"/>
        <w:gridCol w:w="1301"/>
        <w:gridCol w:w="1778"/>
        <w:gridCol w:w="824"/>
        <w:gridCol w:w="1302"/>
      </w:tblGrid>
      <w:tr w:rsidR="007D561E" w:rsidRPr="007D561E" w14:paraId="68FA4685" w14:textId="56B0CBD5" w:rsidTr="00A81BBD">
        <w:tc>
          <w:tcPr>
            <w:tcW w:w="988" w:type="dxa"/>
            <w:shd w:val="clear" w:color="auto" w:fill="D9E2F3" w:themeFill="accent1" w:themeFillTint="33"/>
            <w:vAlign w:val="center"/>
          </w:tcPr>
          <w:p w14:paraId="480D1726" w14:textId="0B225A81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614" w:type="dxa"/>
            <w:shd w:val="clear" w:color="auto" w:fill="D9E2F3" w:themeFill="accent1" w:themeFillTint="33"/>
            <w:vAlign w:val="center"/>
          </w:tcPr>
          <w:p w14:paraId="393DF508" w14:textId="009A066C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財産名</w:t>
            </w:r>
          </w:p>
        </w:tc>
        <w:tc>
          <w:tcPr>
            <w:tcW w:w="1788" w:type="dxa"/>
            <w:shd w:val="clear" w:color="auto" w:fill="D9E2F3" w:themeFill="accent1" w:themeFillTint="33"/>
            <w:vAlign w:val="center"/>
          </w:tcPr>
          <w:p w14:paraId="18EE00C9" w14:textId="748ECC67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規格</w:t>
            </w:r>
          </w:p>
        </w:tc>
        <w:tc>
          <w:tcPr>
            <w:tcW w:w="814" w:type="dxa"/>
            <w:shd w:val="clear" w:color="auto" w:fill="D9E2F3" w:themeFill="accent1" w:themeFillTint="33"/>
            <w:vAlign w:val="center"/>
          </w:tcPr>
          <w:p w14:paraId="7DA0E06E" w14:textId="09437697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301" w:type="dxa"/>
            <w:shd w:val="clear" w:color="auto" w:fill="D9E2F3" w:themeFill="accent1" w:themeFillTint="33"/>
            <w:vAlign w:val="center"/>
          </w:tcPr>
          <w:p w14:paraId="1FCECBC2" w14:textId="4ABE527F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単価</w:t>
            </w:r>
          </w:p>
        </w:tc>
        <w:tc>
          <w:tcPr>
            <w:tcW w:w="1301" w:type="dxa"/>
            <w:shd w:val="clear" w:color="auto" w:fill="D9E2F3" w:themeFill="accent1" w:themeFillTint="33"/>
            <w:vAlign w:val="center"/>
          </w:tcPr>
          <w:p w14:paraId="5B6B8540" w14:textId="104D19A5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301" w:type="dxa"/>
            <w:shd w:val="clear" w:color="auto" w:fill="D9E2F3" w:themeFill="accent1" w:themeFillTint="33"/>
            <w:vAlign w:val="center"/>
          </w:tcPr>
          <w:p w14:paraId="0181F019" w14:textId="77777777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取得</w:t>
            </w:r>
          </w:p>
          <w:p w14:paraId="46E3D5CC" w14:textId="367A00EA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1301" w:type="dxa"/>
            <w:shd w:val="clear" w:color="auto" w:fill="D9E2F3" w:themeFill="accent1" w:themeFillTint="33"/>
            <w:vAlign w:val="center"/>
          </w:tcPr>
          <w:p w14:paraId="3096577C" w14:textId="77777777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処分制</w:t>
            </w:r>
          </w:p>
          <w:p w14:paraId="2D8DBC04" w14:textId="5E2445CB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限期間</w:t>
            </w:r>
          </w:p>
        </w:tc>
        <w:tc>
          <w:tcPr>
            <w:tcW w:w="1778" w:type="dxa"/>
            <w:shd w:val="clear" w:color="auto" w:fill="D9E2F3" w:themeFill="accent1" w:themeFillTint="33"/>
            <w:vAlign w:val="center"/>
          </w:tcPr>
          <w:p w14:paraId="6E0E5259" w14:textId="77777777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保管</w:t>
            </w:r>
          </w:p>
          <w:p w14:paraId="3172B52E" w14:textId="7822E73F" w:rsidR="006479BB" w:rsidRPr="007D561E" w:rsidRDefault="006479BB" w:rsidP="006479BB">
            <w:pPr>
              <w:widowControl/>
              <w:spacing w:beforeLines="10" w:before="36" w:afterLines="10" w:after="36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824" w:type="dxa"/>
            <w:shd w:val="clear" w:color="auto" w:fill="D9E2F3" w:themeFill="accent1" w:themeFillTint="33"/>
            <w:vAlign w:val="center"/>
          </w:tcPr>
          <w:p w14:paraId="189D6361" w14:textId="776E666C" w:rsidR="006479BB" w:rsidRPr="007D561E" w:rsidRDefault="00261FBF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</w:t>
            </w:r>
            <w:r w:rsidR="006479BB"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率</w:t>
            </w:r>
          </w:p>
        </w:tc>
        <w:tc>
          <w:tcPr>
            <w:tcW w:w="1302" w:type="dxa"/>
            <w:shd w:val="clear" w:color="auto" w:fill="D9E2F3" w:themeFill="accent1" w:themeFillTint="33"/>
            <w:vAlign w:val="center"/>
          </w:tcPr>
          <w:p w14:paraId="5788802C" w14:textId="2F7AFD54" w:rsidR="006479BB" w:rsidRPr="007D561E" w:rsidRDefault="006479BB" w:rsidP="006479BB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561E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7D561E" w:rsidRPr="007D561E" w14:paraId="3D679962" w14:textId="2AA9F100" w:rsidTr="00A81BBD">
        <w:tc>
          <w:tcPr>
            <w:tcW w:w="988" w:type="dxa"/>
          </w:tcPr>
          <w:p w14:paraId="3D6765C3" w14:textId="4BBBBDEE" w:rsidR="00A81BBD" w:rsidRPr="007D561E" w:rsidRDefault="00A81BBD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30C235C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BA8591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1759EB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6505F6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1961DF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B503AE7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1DAF90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44A885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D48699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D39487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2EC983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725776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050DE57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47044B1" w14:textId="096E7A76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4" w:type="dxa"/>
          </w:tcPr>
          <w:p w14:paraId="4208151D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B1ED912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4" w:type="dxa"/>
          </w:tcPr>
          <w:p w14:paraId="797A51B7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1" w:type="dxa"/>
          </w:tcPr>
          <w:p w14:paraId="649DD2F0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1" w:type="dxa"/>
          </w:tcPr>
          <w:p w14:paraId="15B22BF7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1" w:type="dxa"/>
          </w:tcPr>
          <w:p w14:paraId="6F4D4FFC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1" w:type="dxa"/>
          </w:tcPr>
          <w:p w14:paraId="04026BAA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8" w:type="dxa"/>
          </w:tcPr>
          <w:p w14:paraId="6BE908A2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4" w:type="dxa"/>
          </w:tcPr>
          <w:p w14:paraId="65FD31AD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2" w:type="dxa"/>
          </w:tcPr>
          <w:p w14:paraId="548F5EBF" w14:textId="77777777" w:rsidR="006479BB" w:rsidRPr="007D561E" w:rsidRDefault="006479BB" w:rsidP="006479BB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480D7BF" w14:textId="380EFEFF" w:rsidR="006479BB" w:rsidRPr="007D561E" w:rsidRDefault="006479BB" w:rsidP="006479BB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※１</w:t>
      </w:r>
      <w:r w:rsidR="007C36EF" w:rsidRPr="007D561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7D561E">
        <w:rPr>
          <w:rFonts w:ascii="ＭＳ 明朝" w:eastAsia="ＭＳ 明朝" w:hAnsi="ＭＳ 明朝" w:hint="eastAsia"/>
          <w:sz w:val="18"/>
          <w:szCs w:val="18"/>
        </w:rPr>
        <w:t>対象となる取得財産等は、交付要綱第</w:t>
      </w:r>
      <w:r w:rsidR="00B62E0C">
        <w:rPr>
          <w:rFonts w:ascii="ＭＳ 明朝" w:eastAsia="ＭＳ 明朝" w:hAnsi="ＭＳ 明朝" w:hint="eastAsia"/>
          <w:sz w:val="18"/>
          <w:szCs w:val="18"/>
        </w:rPr>
        <w:t>16</w:t>
      </w:r>
      <w:r w:rsidRPr="007D561E">
        <w:rPr>
          <w:rFonts w:ascii="ＭＳ 明朝" w:eastAsia="ＭＳ 明朝" w:hAnsi="ＭＳ 明朝"/>
          <w:sz w:val="18"/>
          <w:szCs w:val="18"/>
        </w:rPr>
        <w:t>第１項に定める財産とする。</w:t>
      </w:r>
    </w:p>
    <w:p w14:paraId="02754A92" w14:textId="0EC639B2" w:rsidR="00B51E7D" w:rsidRPr="007D561E" w:rsidRDefault="006479BB" w:rsidP="00B51E7D">
      <w:pPr>
        <w:widowControl/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２</w:t>
      </w:r>
      <w:r w:rsidRPr="007D561E">
        <w:rPr>
          <w:rFonts w:ascii="ＭＳ 明朝" w:eastAsia="ＭＳ 明朝" w:hAnsi="ＭＳ 明朝"/>
          <w:sz w:val="18"/>
          <w:szCs w:val="18"/>
        </w:rPr>
        <w:t xml:space="preserve"> 財産名の区分は 機械装置</w:t>
      </w:r>
      <w:r w:rsidR="00B62E0C">
        <w:rPr>
          <w:rFonts w:ascii="ＭＳ 明朝" w:eastAsia="ＭＳ 明朝" w:hAnsi="ＭＳ 明朝" w:hint="eastAsia"/>
          <w:sz w:val="18"/>
          <w:szCs w:val="18"/>
        </w:rPr>
        <w:t>、</w:t>
      </w:r>
      <w:r w:rsidRPr="007D561E">
        <w:rPr>
          <w:rFonts w:ascii="ＭＳ 明朝" w:eastAsia="ＭＳ 明朝" w:hAnsi="ＭＳ 明朝"/>
          <w:sz w:val="18"/>
          <w:szCs w:val="18"/>
        </w:rPr>
        <w:t>その他とする。</w:t>
      </w:r>
    </w:p>
    <w:p w14:paraId="3846AF09" w14:textId="0CA9C1DE" w:rsidR="006479BB" w:rsidRPr="007D561E" w:rsidRDefault="006479BB" w:rsidP="00F67AD1">
      <w:pPr>
        <w:widowControl/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３</w:t>
      </w:r>
      <w:r w:rsidRPr="007D561E">
        <w:rPr>
          <w:rFonts w:ascii="ＭＳ 明朝" w:eastAsia="ＭＳ 明朝" w:hAnsi="ＭＳ 明朝"/>
          <w:sz w:val="18"/>
          <w:szCs w:val="18"/>
        </w:rPr>
        <w:t xml:space="preserve"> 数量は同一規格等であれば一括して記載して</w:t>
      </w:r>
      <w:r w:rsidRPr="007D561E">
        <w:rPr>
          <w:rFonts w:ascii="ＭＳ 明朝" w:eastAsia="ＭＳ 明朝" w:hAnsi="ＭＳ 明朝" w:hint="eastAsia"/>
          <w:sz w:val="18"/>
          <w:szCs w:val="18"/>
        </w:rPr>
        <w:t>もよい</w:t>
      </w:r>
      <w:r w:rsidR="00B51E7D" w:rsidRPr="007D561E">
        <w:rPr>
          <w:rFonts w:ascii="ＭＳ 明朝" w:eastAsia="ＭＳ 明朝" w:hAnsi="ＭＳ 明朝" w:hint="eastAsia"/>
          <w:sz w:val="18"/>
          <w:szCs w:val="18"/>
        </w:rPr>
        <w:t>こととする</w:t>
      </w:r>
      <w:r w:rsidRPr="007D561E">
        <w:rPr>
          <w:rFonts w:ascii="ＭＳ 明朝" w:eastAsia="ＭＳ 明朝" w:hAnsi="ＭＳ 明朝"/>
          <w:sz w:val="18"/>
          <w:szCs w:val="18"/>
        </w:rPr>
        <w:t>。</w:t>
      </w:r>
      <w:r w:rsidR="00B51E7D" w:rsidRPr="007D561E">
        <w:rPr>
          <w:rFonts w:ascii="ＭＳ 明朝" w:eastAsia="ＭＳ 明朝" w:hAnsi="ＭＳ 明朝" w:hint="eastAsia"/>
          <w:sz w:val="18"/>
          <w:szCs w:val="18"/>
        </w:rPr>
        <w:t>ただし、</w:t>
      </w:r>
      <w:r w:rsidRPr="007D561E">
        <w:rPr>
          <w:rFonts w:ascii="ＭＳ 明朝" w:eastAsia="ＭＳ 明朝" w:hAnsi="ＭＳ 明朝"/>
          <w:sz w:val="18"/>
          <w:szCs w:val="18"/>
        </w:rPr>
        <w:t>単価が異なる場合は分</w:t>
      </w:r>
      <w:r w:rsidRPr="007D561E">
        <w:rPr>
          <w:rFonts w:ascii="ＭＳ 明朝" w:eastAsia="ＭＳ 明朝" w:hAnsi="ＭＳ 明朝" w:hint="eastAsia"/>
          <w:sz w:val="18"/>
          <w:szCs w:val="18"/>
        </w:rPr>
        <w:t>割して記載すること。</w:t>
      </w:r>
    </w:p>
    <w:p w14:paraId="0AB5BF99" w14:textId="77777777" w:rsidR="006479BB" w:rsidRPr="007D561E" w:rsidRDefault="006479BB" w:rsidP="006479BB">
      <w:pPr>
        <w:widowControl/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４</w:t>
      </w:r>
      <w:r w:rsidRPr="007D561E">
        <w:rPr>
          <w:rFonts w:ascii="ＭＳ 明朝" w:eastAsia="ＭＳ 明朝" w:hAnsi="ＭＳ 明朝"/>
          <w:sz w:val="18"/>
          <w:szCs w:val="18"/>
        </w:rPr>
        <w:t xml:space="preserve"> 取得年月日は、検収年月日を記載すること。</w:t>
      </w:r>
    </w:p>
    <w:p w14:paraId="05D811E7" w14:textId="2FDCBD21" w:rsidR="00E85A6A" w:rsidRPr="007D561E" w:rsidRDefault="006479BB" w:rsidP="008D4EDA">
      <w:pPr>
        <w:widowControl/>
        <w:spacing w:line="240" w:lineRule="exact"/>
        <w:ind w:firstLineChars="100" w:firstLine="180"/>
        <w:jc w:val="left"/>
        <w:rPr>
          <w:rFonts w:ascii="ＭＳ 明朝" w:eastAsia="ＭＳ 明朝" w:hAnsi="ＭＳ 明朝" w:hint="eastAsia"/>
          <w:szCs w:val="21"/>
        </w:rPr>
      </w:pPr>
      <w:r w:rsidRPr="007D561E">
        <w:rPr>
          <w:rFonts w:ascii="ＭＳ 明朝" w:eastAsia="ＭＳ 明朝" w:hAnsi="ＭＳ 明朝" w:hint="eastAsia"/>
          <w:sz w:val="18"/>
          <w:szCs w:val="18"/>
        </w:rPr>
        <w:t>５</w:t>
      </w:r>
      <w:r w:rsidRPr="007D561E">
        <w:rPr>
          <w:rFonts w:ascii="ＭＳ 明朝" w:eastAsia="ＭＳ 明朝" w:hAnsi="ＭＳ 明朝"/>
          <w:sz w:val="18"/>
          <w:szCs w:val="18"/>
        </w:rPr>
        <w:t xml:space="preserve"> 処分制限期間は、交付要綱第</w:t>
      </w:r>
      <w:r w:rsidR="00B62E0C">
        <w:rPr>
          <w:rFonts w:ascii="ＭＳ 明朝" w:eastAsia="ＭＳ 明朝" w:hAnsi="ＭＳ 明朝" w:hint="eastAsia"/>
          <w:sz w:val="18"/>
          <w:szCs w:val="18"/>
        </w:rPr>
        <w:t>1</w:t>
      </w:r>
      <w:r w:rsidR="00F67AD1">
        <w:rPr>
          <w:rFonts w:ascii="ＭＳ 明朝" w:eastAsia="ＭＳ 明朝" w:hAnsi="ＭＳ 明朝" w:hint="eastAsia"/>
          <w:sz w:val="18"/>
          <w:szCs w:val="18"/>
        </w:rPr>
        <w:t>6</w:t>
      </w:r>
      <w:r w:rsidRPr="007D561E">
        <w:rPr>
          <w:rFonts w:ascii="ＭＳ 明朝" w:eastAsia="ＭＳ 明朝" w:hAnsi="ＭＳ 明朝"/>
          <w:sz w:val="18"/>
          <w:szCs w:val="18"/>
        </w:rPr>
        <w:t>第２項に定める期間を記載すること。</w:t>
      </w:r>
    </w:p>
    <w:sectPr w:rsidR="00E85A6A" w:rsidRPr="007D561E" w:rsidSect="008D4EDA">
      <w:pgSz w:w="16838" w:h="11906" w:orient="landscape"/>
      <w:pgMar w:top="1560" w:right="1418" w:bottom="155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A7C2" w14:textId="77777777" w:rsidR="001004B6" w:rsidRDefault="001004B6" w:rsidP="002A7958">
      <w:r>
        <w:separator/>
      </w:r>
    </w:p>
  </w:endnote>
  <w:endnote w:type="continuationSeparator" w:id="0">
    <w:p w14:paraId="35B99B69" w14:textId="77777777" w:rsidR="001004B6" w:rsidRDefault="001004B6" w:rsidP="002A7958">
      <w:r>
        <w:continuationSeparator/>
      </w:r>
    </w:p>
  </w:endnote>
  <w:endnote w:type="continuationNotice" w:id="1">
    <w:p w14:paraId="0A13B4CE" w14:textId="77777777" w:rsidR="001004B6" w:rsidRDefault="00100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51C6" w14:textId="77777777" w:rsidR="001004B6" w:rsidRDefault="001004B6" w:rsidP="002A7958">
      <w:r>
        <w:separator/>
      </w:r>
    </w:p>
  </w:footnote>
  <w:footnote w:type="continuationSeparator" w:id="0">
    <w:p w14:paraId="05372269" w14:textId="77777777" w:rsidR="001004B6" w:rsidRDefault="001004B6" w:rsidP="002A7958">
      <w:r>
        <w:continuationSeparator/>
      </w:r>
    </w:p>
  </w:footnote>
  <w:footnote w:type="continuationNotice" w:id="1">
    <w:p w14:paraId="579027D9" w14:textId="77777777" w:rsidR="001004B6" w:rsidRDefault="00100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4B6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0D1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4EDA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3E6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2026-03-09T06:40:00Z</dcterms:created>
  <dcterms:modified xsi:type="dcterms:W3CDTF">2026-03-09T06:40:00Z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