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17" w:rsidRPr="00C65EC6" w:rsidRDefault="00755917">
      <w:pPr>
        <w:adjustRightInd/>
        <w:rPr>
          <w:rFonts w:ascii="ＭＳ 明朝" w:hAnsi="ＭＳ 明朝" w:cs="Times New Roman"/>
        </w:rPr>
      </w:pPr>
      <w:r w:rsidRPr="00C65EC6">
        <w:rPr>
          <w:rFonts w:ascii="ＭＳ 明朝" w:hAnsi="ＭＳ 明朝" w:hint="eastAsia"/>
        </w:rPr>
        <w:t>（様式</w:t>
      </w:r>
      <w:r w:rsidR="00C65EC6" w:rsidRPr="00C65EC6">
        <w:rPr>
          <w:rFonts w:ascii="ＭＳ 明朝" w:hAnsi="ＭＳ 明朝" w:hint="eastAsia"/>
        </w:rPr>
        <w:t>第</w:t>
      </w:r>
      <w:r w:rsidR="009877F4">
        <w:rPr>
          <w:rFonts w:ascii="ＭＳ 明朝" w:hAnsi="ＭＳ 明朝" w:hint="eastAsia"/>
        </w:rPr>
        <w:t>３</w:t>
      </w:r>
      <w:r w:rsidR="00C65EC6" w:rsidRPr="00C65EC6">
        <w:rPr>
          <w:rFonts w:ascii="ＭＳ 明朝" w:hAnsi="ＭＳ 明朝" w:hint="eastAsia"/>
        </w:rPr>
        <w:t>号</w:t>
      </w:r>
      <w:r w:rsidRPr="00C65EC6">
        <w:rPr>
          <w:rFonts w:ascii="ＭＳ 明朝" w:hAnsi="ＭＳ 明朝" w:hint="eastAsia"/>
        </w:rPr>
        <w:t>）</w:t>
      </w:r>
    </w:p>
    <w:p w:rsidR="00BC4A2A" w:rsidRPr="001621FD" w:rsidRDefault="009877F4" w:rsidP="005B0C54">
      <w:pPr>
        <w:adjustRightInd/>
        <w:spacing w:line="420" w:lineRule="exact"/>
        <w:jc w:val="center"/>
        <w:rPr>
          <w:rFonts w:asciiTheme="majorEastAsia" w:eastAsiaTheme="majorEastAsia" w:hAnsiTheme="majorEastAsia"/>
        </w:rPr>
      </w:pPr>
      <w:r w:rsidRPr="001621FD">
        <w:rPr>
          <w:rFonts w:asciiTheme="majorEastAsia" w:eastAsiaTheme="majorEastAsia" w:hAnsiTheme="majorEastAsia" w:cs="Times New Roman" w:hint="eastAsia"/>
          <w:sz w:val="28"/>
        </w:rPr>
        <w:t>関係法令チェックリスト</w:t>
      </w:r>
    </w:p>
    <w:tbl>
      <w:tblPr>
        <w:tblStyle w:val="a7"/>
        <w:tblW w:w="10123" w:type="dxa"/>
        <w:tblInd w:w="24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47"/>
        <w:gridCol w:w="3180"/>
        <w:gridCol w:w="658"/>
        <w:gridCol w:w="658"/>
        <w:gridCol w:w="3180"/>
      </w:tblGrid>
      <w:tr w:rsidR="00643970" w:rsidTr="005517D0">
        <w:trPr>
          <w:trHeight w:val="363"/>
        </w:trPr>
        <w:tc>
          <w:tcPr>
            <w:tcW w:w="2447" w:type="dxa"/>
            <w:vMerge w:val="restart"/>
            <w:vAlign w:val="center"/>
          </w:tcPr>
          <w:p w:rsidR="00643970" w:rsidRPr="009E7535" w:rsidRDefault="00643970" w:rsidP="003A4E12">
            <w:pPr>
              <w:adjustRightInd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法令等名称</w:t>
            </w:r>
          </w:p>
        </w:tc>
        <w:tc>
          <w:tcPr>
            <w:tcW w:w="3180" w:type="dxa"/>
            <w:vMerge w:val="restart"/>
            <w:vAlign w:val="center"/>
          </w:tcPr>
          <w:p w:rsidR="00643970" w:rsidRPr="009E7535" w:rsidRDefault="00643970" w:rsidP="003A4E12">
            <w:pPr>
              <w:adjustRightInd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区域名</w:t>
            </w:r>
            <w:r w:rsidR="001A6E19">
              <w:rPr>
                <w:rFonts w:asciiTheme="majorEastAsia" w:eastAsiaTheme="majorEastAsia" w:hAnsiTheme="majorEastAsia" w:hint="eastAsia"/>
                <w:sz w:val="21"/>
              </w:rPr>
              <w:t>等</w:t>
            </w:r>
          </w:p>
        </w:tc>
        <w:tc>
          <w:tcPr>
            <w:tcW w:w="1316" w:type="dxa"/>
            <w:gridSpan w:val="2"/>
            <w:vAlign w:val="center"/>
          </w:tcPr>
          <w:p w:rsidR="00643970" w:rsidRPr="009E7535" w:rsidRDefault="00643970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適用の有無</w:t>
            </w:r>
          </w:p>
        </w:tc>
        <w:tc>
          <w:tcPr>
            <w:tcW w:w="3180" w:type="dxa"/>
            <w:vMerge w:val="restart"/>
            <w:vAlign w:val="center"/>
          </w:tcPr>
          <w:p w:rsidR="00643970" w:rsidRPr="009E7535" w:rsidRDefault="00643970" w:rsidP="003A4E12">
            <w:pPr>
              <w:adjustRightInd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有の場合：適合確認</w:t>
            </w:r>
          </w:p>
          <w:p w:rsidR="00643970" w:rsidRPr="009E7535" w:rsidRDefault="00643970" w:rsidP="003A4E12">
            <w:pPr>
              <w:adjustRightInd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（協議の状況等）</w:t>
            </w:r>
          </w:p>
        </w:tc>
      </w:tr>
      <w:tr w:rsidR="00643970" w:rsidTr="005B0C54">
        <w:trPr>
          <w:trHeight w:val="216"/>
        </w:trPr>
        <w:tc>
          <w:tcPr>
            <w:tcW w:w="2447" w:type="dxa"/>
            <w:vMerge/>
            <w:vAlign w:val="center"/>
          </w:tcPr>
          <w:p w:rsidR="00643970" w:rsidRPr="009E7535" w:rsidRDefault="00643970" w:rsidP="003A4E12">
            <w:pPr>
              <w:adjustRightInd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180" w:type="dxa"/>
            <w:vMerge/>
            <w:vAlign w:val="center"/>
          </w:tcPr>
          <w:p w:rsidR="00643970" w:rsidRPr="009E7535" w:rsidRDefault="00643970" w:rsidP="003A4E12">
            <w:pPr>
              <w:adjustRightInd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  <w:vAlign w:val="center"/>
          </w:tcPr>
          <w:p w:rsidR="00643970" w:rsidRPr="009E7535" w:rsidRDefault="00643970" w:rsidP="003A4E12">
            <w:pPr>
              <w:adjustRightInd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有</w:t>
            </w: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643970" w:rsidRPr="009E7535" w:rsidRDefault="00643970" w:rsidP="003A4E12">
            <w:pPr>
              <w:adjustRightInd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無</w:t>
            </w:r>
          </w:p>
        </w:tc>
        <w:tc>
          <w:tcPr>
            <w:tcW w:w="3180" w:type="dxa"/>
            <w:vMerge/>
            <w:vAlign w:val="center"/>
          </w:tcPr>
          <w:p w:rsidR="00643970" w:rsidRPr="00171F7C" w:rsidRDefault="00643970" w:rsidP="003A4E1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E7535" w:rsidTr="005B0C54">
        <w:tc>
          <w:tcPr>
            <w:tcW w:w="2447" w:type="dxa"/>
          </w:tcPr>
          <w:p w:rsidR="009E7535" w:rsidRPr="009E7535" w:rsidRDefault="009E7535" w:rsidP="00D74BC3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急傾斜地の崩壊による</w:t>
            </w:r>
          </w:p>
          <w:p w:rsidR="009E7535" w:rsidRPr="009E7535" w:rsidRDefault="009E7535" w:rsidP="001621FD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災害の防止に関する法律</w:t>
            </w:r>
          </w:p>
        </w:tc>
        <w:tc>
          <w:tcPr>
            <w:tcW w:w="3180" w:type="dxa"/>
          </w:tcPr>
          <w:p w:rsidR="009E7535" w:rsidRPr="009E7535" w:rsidRDefault="009E7535" w:rsidP="00C618B6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急傾斜地崩壊危険区域</w:t>
            </w:r>
          </w:p>
        </w:tc>
        <w:tc>
          <w:tcPr>
            <w:tcW w:w="658" w:type="dxa"/>
            <w:tcBorders>
              <w:righ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3180" w:type="dxa"/>
          </w:tcPr>
          <w:p w:rsidR="009E7535" w:rsidRPr="00171F7C" w:rsidRDefault="009E7535" w:rsidP="00C618B6">
            <w:pPr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E7535" w:rsidTr="005B0C54">
        <w:tc>
          <w:tcPr>
            <w:tcW w:w="2447" w:type="dxa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砂防法</w:t>
            </w:r>
          </w:p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180" w:type="dxa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砂防指定地</w:t>
            </w:r>
          </w:p>
        </w:tc>
        <w:tc>
          <w:tcPr>
            <w:tcW w:w="658" w:type="dxa"/>
            <w:tcBorders>
              <w:righ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3180" w:type="dxa"/>
          </w:tcPr>
          <w:p w:rsidR="009E7535" w:rsidRPr="00171F7C" w:rsidRDefault="009E7535" w:rsidP="006B4CA2">
            <w:pPr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E7535" w:rsidTr="005B0C54">
        <w:tc>
          <w:tcPr>
            <w:tcW w:w="2447" w:type="dxa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自然環境保全法</w:t>
            </w:r>
          </w:p>
        </w:tc>
        <w:tc>
          <w:tcPr>
            <w:tcW w:w="3180" w:type="dxa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原生自然環境保全地域</w:t>
            </w:r>
          </w:p>
          <w:p w:rsidR="001A6E19" w:rsidRDefault="009E7535" w:rsidP="001A6E19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自然環境保全地域内のうち</w:t>
            </w:r>
            <w:r w:rsidR="001A6E19">
              <w:rPr>
                <w:rFonts w:asciiTheme="majorEastAsia" w:eastAsiaTheme="majorEastAsia" w:hAnsiTheme="majorEastAsia" w:hint="eastAsia"/>
                <w:sz w:val="21"/>
              </w:rPr>
              <w:t>、</w:t>
            </w:r>
          </w:p>
          <w:p w:rsidR="009E7535" w:rsidRPr="009E7535" w:rsidRDefault="009E7535" w:rsidP="001A6E19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特別地区、普通地区</w:t>
            </w:r>
          </w:p>
        </w:tc>
        <w:tc>
          <w:tcPr>
            <w:tcW w:w="658" w:type="dxa"/>
            <w:tcBorders>
              <w:righ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3180" w:type="dxa"/>
          </w:tcPr>
          <w:p w:rsidR="009E7535" w:rsidRPr="00171F7C" w:rsidRDefault="009E7535" w:rsidP="006B4CA2">
            <w:pPr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E7535" w:rsidTr="005B0C54">
        <w:tc>
          <w:tcPr>
            <w:tcW w:w="2447" w:type="dxa"/>
            <w:vMerge w:val="restart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自然公園法</w:t>
            </w:r>
          </w:p>
        </w:tc>
        <w:tc>
          <w:tcPr>
            <w:tcW w:w="3180" w:type="dxa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自然公園のうち、</w:t>
            </w:r>
          </w:p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特別保護地区</w:t>
            </w:r>
          </w:p>
        </w:tc>
        <w:tc>
          <w:tcPr>
            <w:tcW w:w="658" w:type="dxa"/>
            <w:tcBorders>
              <w:righ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3180" w:type="dxa"/>
          </w:tcPr>
          <w:p w:rsidR="009E7535" w:rsidRPr="00171F7C" w:rsidRDefault="009E7535" w:rsidP="006B4CA2">
            <w:pPr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E7535" w:rsidTr="005B0C54">
        <w:tc>
          <w:tcPr>
            <w:tcW w:w="2447" w:type="dxa"/>
            <w:vMerge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180" w:type="dxa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自然公園のうち、</w:t>
            </w:r>
          </w:p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特別地域</w:t>
            </w:r>
          </w:p>
        </w:tc>
        <w:tc>
          <w:tcPr>
            <w:tcW w:w="658" w:type="dxa"/>
            <w:tcBorders>
              <w:right w:val="dashed" w:sz="4" w:space="0" w:color="auto"/>
            </w:tcBorders>
            <w:vAlign w:val="center"/>
          </w:tcPr>
          <w:p w:rsidR="009E7535" w:rsidRPr="00D82FBD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82FBD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9E7535" w:rsidRPr="00D82FBD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82FBD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3180" w:type="dxa"/>
          </w:tcPr>
          <w:p w:rsidR="009E7535" w:rsidRPr="00171F7C" w:rsidRDefault="009E7535" w:rsidP="006B4CA2">
            <w:pPr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E7535" w:rsidTr="005B0C54">
        <w:tc>
          <w:tcPr>
            <w:tcW w:w="2447" w:type="dxa"/>
            <w:vMerge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180" w:type="dxa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自然公園のうち、</w:t>
            </w:r>
          </w:p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普通地域</w:t>
            </w:r>
          </w:p>
        </w:tc>
        <w:tc>
          <w:tcPr>
            <w:tcW w:w="658" w:type="dxa"/>
            <w:tcBorders>
              <w:right w:val="dashed" w:sz="4" w:space="0" w:color="auto"/>
            </w:tcBorders>
            <w:vAlign w:val="center"/>
          </w:tcPr>
          <w:p w:rsidR="009E7535" w:rsidRPr="00D82FBD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82FBD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9E7535" w:rsidRPr="00D82FBD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82FBD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3180" w:type="dxa"/>
          </w:tcPr>
          <w:p w:rsidR="009E7535" w:rsidRPr="00171F7C" w:rsidRDefault="009E7535" w:rsidP="006B4CA2">
            <w:pPr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E7535" w:rsidTr="005B0C54">
        <w:tc>
          <w:tcPr>
            <w:tcW w:w="2447" w:type="dxa"/>
            <w:vMerge w:val="restart"/>
          </w:tcPr>
          <w:p w:rsidR="009E7535" w:rsidRPr="009E7535" w:rsidRDefault="009E7535" w:rsidP="006B4CA2">
            <w:pPr>
              <w:adjustRightInd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森林法</w:t>
            </w:r>
          </w:p>
        </w:tc>
        <w:tc>
          <w:tcPr>
            <w:tcW w:w="3180" w:type="dxa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保安林</w:t>
            </w:r>
          </w:p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  <w:vAlign w:val="center"/>
          </w:tcPr>
          <w:p w:rsidR="009E7535" w:rsidRPr="00D82FBD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82FBD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9E7535" w:rsidRPr="00D82FBD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82FBD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3180" w:type="dxa"/>
          </w:tcPr>
          <w:p w:rsidR="009E7535" w:rsidRPr="00171F7C" w:rsidRDefault="009E7535" w:rsidP="006B4CA2">
            <w:pPr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E7535" w:rsidTr="005B0C54">
        <w:tc>
          <w:tcPr>
            <w:tcW w:w="2447" w:type="dxa"/>
            <w:vMerge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180" w:type="dxa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地域森林計画対象民有林</w:t>
            </w:r>
          </w:p>
        </w:tc>
        <w:tc>
          <w:tcPr>
            <w:tcW w:w="658" w:type="dxa"/>
            <w:tcBorders>
              <w:righ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3180" w:type="dxa"/>
          </w:tcPr>
          <w:p w:rsid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  <w:p w:rsidR="009E7535" w:rsidRPr="00171F7C" w:rsidRDefault="009E7535" w:rsidP="006B4CA2">
            <w:pPr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E7535" w:rsidTr="005B0C54">
        <w:tc>
          <w:tcPr>
            <w:tcW w:w="2447" w:type="dxa"/>
          </w:tcPr>
          <w:p w:rsid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宅地造成等規制法</w:t>
            </w:r>
          </w:p>
          <w:p w:rsidR="00643970" w:rsidRPr="009E7535" w:rsidRDefault="00643970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180" w:type="dxa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宅地造成工事規制区域</w:t>
            </w:r>
          </w:p>
        </w:tc>
        <w:tc>
          <w:tcPr>
            <w:tcW w:w="658" w:type="dxa"/>
            <w:tcBorders>
              <w:righ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3180" w:type="dxa"/>
          </w:tcPr>
          <w:p w:rsidR="009E7535" w:rsidRPr="00171F7C" w:rsidRDefault="009E7535" w:rsidP="006B4CA2">
            <w:pPr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E7535" w:rsidTr="005B0C54">
        <w:tc>
          <w:tcPr>
            <w:tcW w:w="2447" w:type="dxa"/>
          </w:tcPr>
          <w:p w:rsid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地すべり等防止法</w:t>
            </w:r>
          </w:p>
          <w:p w:rsidR="00643970" w:rsidRPr="009E7535" w:rsidRDefault="00643970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180" w:type="dxa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地すべり防止区域</w:t>
            </w:r>
          </w:p>
        </w:tc>
        <w:tc>
          <w:tcPr>
            <w:tcW w:w="658" w:type="dxa"/>
            <w:tcBorders>
              <w:righ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3180" w:type="dxa"/>
          </w:tcPr>
          <w:p w:rsidR="009E7535" w:rsidRPr="00171F7C" w:rsidRDefault="009E7535" w:rsidP="006B4CA2">
            <w:pPr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E7535" w:rsidTr="005B0C54">
        <w:tc>
          <w:tcPr>
            <w:tcW w:w="2447" w:type="dxa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鳥獣の保護及び狩猟の</w:t>
            </w:r>
          </w:p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適正化に関する法律</w:t>
            </w:r>
          </w:p>
        </w:tc>
        <w:tc>
          <w:tcPr>
            <w:tcW w:w="3180" w:type="dxa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鳥獣保護区のうち、</w:t>
            </w:r>
          </w:p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特別保護地区</w:t>
            </w:r>
          </w:p>
        </w:tc>
        <w:tc>
          <w:tcPr>
            <w:tcW w:w="658" w:type="dxa"/>
            <w:tcBorders>
              <w:righ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3180" w:type="dxa"/>
          </w:tcPr>
          <w:p w:rsidR="009E7535" w:rsidRPr="00171F7C" w:rsidRDefault="009E7535" w:rsidP="006B4CA2">
            <w:pPr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E7535" w:rsidTr="005B0C54">
        <w:tc>
          <w:tcPr>
            <w:tcW w:w="2447" w:type="dxa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農業振興地域の整備に</w:t>
            </w:r>
          </w:p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関する法律</w:t>
            </w:r>
          </w:p>
        </w:tc>
        <w:tc>
          <w:tcPr>
            <w:tcW w:w="3180" w:type="dxa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農業振興地域のうち、</w:t>
            </w:r>
          </w:p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農用地区域</w:t>
            </w:r>
          </w:p>
        </w:tc>
        <w:tc>
          <w:tcPr>
            <w:tcW w:w="658" w:type="dxa"/>
            <w:tcBorders>
              <w:righ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3180" w:type="dxa"/>
          </w:tcPr>
          <w:p w:rsidR="009E7535" w:rsidRPr="00171F7C" w:rsidRDefault="009E7535" w:rsidP="006B4CA2">
            <w:pPr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E7535" w:rsidTr="005B0C54">
        <w:tc>
          <w:tcPr>
            <w:tcW w:w="2447" w:type="dxa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農地法</w:t>
            </w:r>
          </w:p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180" w:type="dxa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農地</w:t>
            </w:r>
          </w:p>
        </w:tc>
        <w:tc>
          <w:tcPr>
            <w:tcW w:w="658" w:type="dxa"/>
            <w:tcBorders>
              <w:righ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3180" w:type="dxa"/>
          </w:tcPr>
          <w:p w:rsidR="009E7535" w:rsidRPr="00171F7C" w:rsidRDefault="009E7535" w:rsidP="006B4CA2">
            <w:pPr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E7535" w:rsidTr="005B0C54">
        <w:tc>
          <w:tcPr>
            <w:tcW w:w="2447" w:type="dxa"/>
            <w:vMerge w:val="restart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河川法</w:t>
            </w:r>
          </w:p>
        </w:tc>
        <w:tc>
          <w:tcPr>
            <w:tcW w:w="3180" w:type="dxa"/>
          </w:tcPr>
          <w:p w:rsid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河川区域</w:t>
            </w:r>
          </w:p>
          <w:p w:rsidR="00643970" w:rsidRPr="009E7535" w:rsidRDefault="00643970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3180" w:type="dxa"/>
          </w:tcPr>
          <w:p w:rsidR="009E7535" w:rsidRPr="00171F7C" w:rsidRDefault="009E7535" w:rsidP="006B4CA2">
            <w:pPr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E7535" w:rsidTr="005B0C54">
        <w:tc>
          <w:tcPr>
            <w:tcW w:w="2447" w:type="dxa"/>
            <w:vMerge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180" w:type="dxa"/>
          </w:tcPr>
          <w:p w:rsid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河川保全区域</w:t>
            </w:r>
          </w:p>
          <w:p w:rsidR="00643970" w:rsidRPr="009E7535" w:rsidRDefault="00643970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3180" w:type="dxa"/>
          </w:tcPr>
          <w:p w:rsidR="009E7535" w:rsidRPr="00171F7C" w:rsidRDefault="009E7535" w:rsidP="006B4CA2">
            <w:pPr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E7535" w:rsidTr="005B0C54">
        <w:tc>
          <w:tcPr>
            <w:tcW w:w="2447" w:type="dxa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文化財保護法</w:t>
            </w:r>
          </w:p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180" w:type="dxa"/>
          </w:tcPr>
          <w:p w:rsidR="009E7535" w:rsidRPr="009E7535" w:rsidRDefault="009E7535" w:rsidP="006B4CA2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 w:rsidRPr="009E7535">
              <w:rPr>
                <w:rFonts w:asciiTheme="majorEastAsia" w:eastAsiaTheme="majorEastAsia" w:hAnsiTheme="majorEastAsia" w:hint="eastAsia"/>
                <w:sz w:val="21"/>
              </w:rPr>
              <w:t>埋蔵文化財包蔵地</w:t>
            </w:r>
          </w:p>
        </w:tc>
        <w:tc>
          <w:tcPr>
            <w:tcW w:w="658" w:type="dxa"/>
            <w:tcBorders>
              <w:righ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9E7535" w:rsidRPr="00171F7C" w:rsidRDefault="009E7535" w:rsidP="006B4CA2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3180" w:type="dxa"/>
          </w:tcPr>
          <w:p w:rsidR="009E7535" w:rsidRPr="00171F7C" w:rsidRDefault="009E7535" w:rsidP="006B4CA2">
            <w:pPr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0B03B9" w:rsidTr="005B0C54">
        <w:tc>
          <w:tcPr>
            <w:tcW w:w="2447" w:type="dxa"/>
          </w:tcPr>
          <w:p w:rsidR="000B03B9" w:rsidRPr="009E7535" w:rsidRDefault="000B03B9" w:rsidP="000B03B9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土壌汚染対策法</w:t>
            </w:r>
            <w:bookmarkStart w:id="0" w:name="_GoBack"/>
            <w:bookmarkEnd w:id="0"/>
          </w:p>
        </w:tc>
        <w:tc>
          <w:tcPr>
            <w:tcW w:w="3180" w:type="dxa"/>
          </w:tcPr>
          <w:p w:rsidR="005517D0" w:rsidRDefault="00044DB0" w:rsidP="000B03B9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掘削を伴う</w:t>
            </w:r>
            <w:r w:rsidR="005517D0">
              <w:rPr>
                <w:rFonts w:asciiTheme="majorEastAsia" w:eastAsiaTheme="majorEastAsia" w:hAnsiTheme="majorEastAsia" w:hint="eastAsia"/>
                <w:sz w:val="21"/>
              </w:rPr>
              <w:t>土地の形質変更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の</w:t>
            </w:r>
          </w:p>
          <w:p w:rsidR="005B0C54" w:rsidRDefault="00044DB0" w:rsidP="000B03B9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面積が一定規模以上</w:t>
            </w:r>
          </w:p>
          <w:p w:rsidR="005B0C54" w:rsidRPr="009E7535" w:rsidRDefault="005B0C54" w:rsidP="00044DB0">
            <w:pPr>
              <w:adjustRightInd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</w:t>
            </w:r>
            <w:r w:rsidR="00044DB0">
              <w:rPr>
                <w:rFonts w:asciiTheme="majorEastAsia" w:eastAsiaTheme="majorEastAsia" w:hAnsiTheme="majorEastAsia" w:hint="eastAsia"/>
                <w:sz w:val="21"/>
              </w:rPr>
              <w:t>900</w:t>
            </w:r>
            <w:r w:rsidR="00044DB0">
              <w:rPr>
                <w:rFonts w:asciiTheme="majorEastAsia" w:eastAsiaTheme="majorEastAsia" w:hAnsiTheme="majorEastAsia"/>
                <w:sz w:val="21"/>
              </w:rPr>
              <w:t>m2</w:t>
            </w:r>
            <w:r w:rsidR="00044DB0">
              <w:rPr>
                <w:rFonts w:asciiTheme="majorEastAsia" w:eastAsiaTheme="majorEastAsia" w:hAnsiTheme="majorEastAsia" w:hint="eastAsia"/>
                <w:sz w:val="21"/>
              </w:rPr>
              <w:t>または3,000</w:t>
            </w:r>
            <w:r w:rsidR="00044DB0">
              <w:rPr>
                <w:rFonts w:asciiTheme="majorEastAsia" w:eastAsiaTheme="majorEastAsia" w:hAnsiTheme="majorEastAsia"/>
                <w:sz w:val="21"/>
              </w:rPr>
              <w:t>m2</w:t>
            </w:r>
            <w:r w:rsidR="00044DB0">
              <w:rPr>
                <w:rFonts w:asciiTheme="majorEastAsia" w:eastAsiaTheme="majorEastAsia" w:hAnsiTheme="majorEastAsia" w:hint="eastAsia"/>
                <w:sz w:val="21"/>
              </w:rPr>
              <w:t>以上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</w:tc>
        <w:tc>
          <w:tcPr>
            <w:tcW w:w="658" w:type="dxa"/>
            <w:tcBorders>
              <w:right w:val="dashed" w:sz="4" w:space="0" w:color="auto"/>
            </w:tcBorders>
            <w:vAlign w:val="center"/>
          </w:tcPr>
          <w:p w:rsidR="000B03B9" w:rsidRPr="00171F7C" w:rsidRDefault="000B03B9" w:rsidP="000B03B9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658" w:type="dxa"/>
            <w:tcBorders>
              <w:left w:val="dashed" w:sz="4" w:space="0" w:color="auto"/>
            </w:tcBorders>
            <w:vAlign w:val="center"/>
          </w:tcPr>
          <w:p w:rsidR="000B03B9" w:rsidRPr="00171F7C" w:rsidRDefault="000B03B9" w:rsidP="000B03B9">
            <w:pPr>
              <w:adjustRightInd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71F7C">
              <w:rPr>
                <w:rFonts w:ascii="Segoe UI Symbol" w:eastAsiaTheme="majorEastAsia" w:hAnsi="Segoe UI Symbol" w:cs="Segoe UI Symbol" w:hint="eastAsia"/>
                <w:sz w:val="18"/>
              </w:rPr>
              <w:t>□</w:t>
            </w:r>
          </w:p>
        </w:tc>
        <w:tc>
          <w:tcPr>
            <w:tcW w:w="3180" w:type="dxa"/>
          </w:tcPr>
          <w:p w:rsidR="000B03B9" w:rsidRDefault="000B03B9" w:rsidP="000B03B9">
            <w:pPr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  <w:p w:rsidR="000B03B9" w:rsidRPr="00171F7C" w:rsidRDefault="000B03B9" w:rsidP="000B03B9">
            <w:pPr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D17CC1" w:rsidRDefault="009E7535" w:rsidP="00CE422A">
      <w:pPr>
        <w:adjustRightInd/>
        <w:ind w:leftChars="100" w:left="424" w:hangingChars="100" w:hanging="182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※上表を参考に、</w:t>
      </w:r>
      <w:r w:rsidR="00C37A31">
        <w:rPr>
          <w:rFonts w:asciiTheme="majorEastAsia" w:eastAsiaTheme="majorEastAsia" w:hAnsiTheme="majorEastAsia" w:hint="eastAsia"/>
          <w:sz w:val="18"/>
        </w:rPr>
        <w:t>「</w:t>
      </w:r>
      <w:r w:rsidRPr="009E7535">
        <w:rPr>
          <w:rFonts w:asciiTheme="majorEastAsia" w:eastAsiaTheme="majorEastAsia" w:hAnsiTheme="majorEastAsia" w:hint="eastAsia"/>
          <w:sz w:val="18"/>
        </w:rPr>
        <w:t>信州くらしのマップ</w:t>
      </w:r>
      <w:r w:rsidR="00C37A31">
        <w:rPr>
          <w:rFonts w:asciiTheme="majorEastAsia" w:eastAsiaTheme="majorEastAsia" w:hAnsiTheme="majorEastAsia" w:hint="eastAsia"/>
          <w:sz w:val="18"/>
        </w:rPr>
        <w:t>」</w:t>
      </w:r>
      <w:r>
        <w:rPr>
          <w:rFonts w:asciiTheme="majorEastAsia" w:eastAsiaTheme="majorEastAsia" w:hAnsiTheme="majorEastAsia" w:hint="eastAsia"/>
          <w:sz w:val="18"/>
        </w:rPr>
        <w:t>等により、</w:t>
      </w:r>
      <w:r w:rsidR="00C37A31">
        <w:rPr>
          <w:rFonts w:asciiTheme="majorEastAsia" w:eastAsiaTheme="majorEastAsia" w:hAnsiTheme="majorEastAsia" w:hint="eastAsia"/>
          <w:sz w:val="18"/>
        </w:rPr>
        <w:t>受入地における規制等の有無を</w:t>
      </w:r>
      <w:r w:rsidR="00CE422A">
        <w:rPr>
          <w:rFonts w:asciiTheme="majorEastAsia" w:eastAsiaTheme="majorEastAsia" w:hAnsiTheme="majorEastAsia" w:hint="eastAsia"/>
          <w:sz w:val="18"/>
        </w:rPr>
        <w:t>ご確認ください。</w:t>
      </w:r>
    </w:p>
    <w:p w:rsidR="00164B98" w:rsidRDefault="00CB7E89" w:rsidP="00CE422A">
      <w:pPr>
        <w:adjustRightInd/>
        <w:ind w:leftChars="100" w:left="454" w:hangingChars="100" w:hanging="212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1023671</wp:posOffset>
                </wp:positionH>
                <wp:positionV relativeFrom="paragraph">
                  <wp:posOffset>83820</wp:posOffset>
                </wp:positionV>
                <wp:extent cx="4423410" cy="893258"/>
                <wp:effectExtent l="0" t="0" r="15240" b="2159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3410" cy="893258"/>
                        </a:xfrm>
                        <a:prstGeom prst="roundRect">
                          <a:avLst>
                            <a:gd name="adj" fmla="val 642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A2CA5" id="角丸四角形 3" o:spid="_x0000_s1026" style="position:absolute;left:0;text-align:left;margin-left:80.6pt;margin-top:6.6pt;width:348.3pt;height:7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" filled="f" strokecolor="black [3213]" strokeweight="1pt"/>
            </w:pict>
          </mc:Fallback>
        </mc:AlternateContent>
      </w:r>
    </w:p>
    <w:p w:rsidR="00640692" w:rsidRPr="00CB7E89" w:rsidRDefault="00CB7E89" w:rsidP="0098345D">
      <w:pPr>
        <w:adjustRightInd/>
        <w:ind w:firstLineChars="900" w:firstLine="1908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noProof/>
          <w:sz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4565218</wp:posOffset>
            </wp:positionH>
            <wp:positionV relativeFrom="paragraph">
              <wp:posOffset>19685</wp:posOffset>
            </wp:positionV>
            <wp:extent cx="618409" cy="61840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E852C9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28832" r="66607" b="20651"/>
                    <a:stretch/>
                  </pic:blipFill>
                  <pic:spPr bwMode="auto">
                    <a:xfrm>
                      <a:off x="0" y="0"/>
                      <a:ext cx="618409" cy="618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A31" w:rsidRPr="00CB7E89">
        <w:rPr>
          <w:rFonts w:asciiTheme="majorEastAsia" w:eastAsiaTheme="majorEastAsia" w:hAnsiTheme="majorEastAsia" w:hint="eastAsia"/>
          <w:sz w:val="18"/>
        </w:rPr>
        <w:t>長野県統合型地理情報システム 信州くらしのマップ</w:t>
      </w:r>
    </w:p>
    <w:p w:rsidR="00C37A31" w:rsidRPr="00CB7E89" w:rsidRDefault="00BC3904" w:rsidP="001A17A4">
      <w:pPr>
        <w:adjustRightInd/>
        <w:ind w:firstLineChars="900" w:firstLine="2178"/>
        <w:rPr>
          <w:rFonts w:asciiTheme="majorEastAsia" w:eastAsiaTheme="majorEastAsia" w:hAnsiTheme="majorEastAsia"/>
          <w:sz w:val="18"/>
        </w:rPr>
      </w:pPr>
      <w:hyperlink r:id="rId9" w:history="1">
        <w:r w:rsidR="0098345D" w:rsidRPr="00690D59">
          <w:rPr>
            <w:rStyle w:val="a8"/>
            <w:rFonts w:asciiTheme="majorEastAsia" w:eastAsiaTheme="majorEastAsia" w:hAnsiTheme="majorEastAsia"/>
            <w:sz w:val="18"/>
          </w:rPr>
          <w:t>http://wwwgis.pref.nagano.lg.jp/pref-nagano/Portal</w:t>
        </w:r>
      </w:hyperlink>
    </w:p>
    <w:p w:rsidR="00CB7E89" w:rsidRPr="00C37A31" w:rsidRDefault="0098345D" w:rsidP="00CB7E89">
      <w:pPr>
        <w:pStyle w:val="a9"/>
        <w:wordWrap w:val="0"/>
        <w:adjustRightInd/>
        <w:ind w:leftChars="0" w:firstLineChars="300" w:firstLine="546"/>
        <w:jc w:val="righ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18"/>
        </w:rPr>
        <w:t xml:space="preserve">　　　</w:t>
      </w:r>
      <w:r w:rsidR="00CB7E89">
        <w:rPr>
          <w:rFonts w:asciiTheme="majorEastAsia" w:eastAsiaTheme="majorEastAsia" w:hAnsiTheme="majorEastAsia" w:hint="eastAsia"/>
          <w:sz w:val="18"/>
        </w:rPr>
        <w:t xml:space="preserve">ここからもアクセスできます⇒　　　　　　　　　　　　　　　　　　　</w:t>
      </w:r>
    </w:p>
    <w:sectPr w:rsidR="00CB7E89" w:rsidRPr="00C37A31" w:rsidSect="006B4CA2">
      <w:footerReference w:type="default" r:id="rId10"/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904" w:rsidRDefault="00BC3904" w:rsidP="00D43CE4">
      <w:r>
        <w:separator/>
      </w:r>
    </w:p>
  </w:endnote>
  <w:endnote w:type="continuationSeparator" w:id="0">
    <w:p w:rsidR="00BC3904" w:rsidRDefault="00BC3904" w:rsidP="00D4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17" w:rsidRDefault="00755917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904" w:rsidRDefault="00BC39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3904" w:rsidRDefault="00BC3904" w:rsidP="00D43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91372"/>
    <w:multiLevelType w:val="hybridMultilevel"/>
    <w:tmpl w:val="3F447FA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966"/>
  <w:hyphenationZone w:val="0"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17"/>
    <w:rsid w:val="000359D8"/>
    <w:rsid w:val="00044DB0"/>
    <w:rsid w:val="000B03B9"/>
    <w:rsid w:val="001621FD"/>
    <w:rsid w:val="00164B98"/>
    <w:rsid w:val="00171F7C"/>
    <w:rsid w:val="001A0F09"/>
    <w:rsid w:val="001A17A4"/>
    <w:rsid w:val="001A6E19"/>
    <w:rsid w:val="00241AD9"/>
    <w:rsid w:val="003840F2"/>
    <w:rsid w:val="003A4E12"/>
    <w:rsid w:val="003C595F"/>
    <w:rsid w:val="003F2B83"/>
    <w:rsid w:val="0049491C"/>
    <w:rsid w:val="004E1031"/>
    <w:rsid w:val="00525170"/>
    <w:rsid w:val="005517D0"/>
    <w:rsid w:val="00581721"/>
    <w:rsid w:val="0058174D"/>
    <w:rsid w:val="005B0C54"/>
    <w:rsid w:val="005B7E4B"/>
    <w:rsid w:val="005C4379"/>
    <w:rsid w:val="005D420C"/>
    <w:rsid w:val="00640692"/>
    <w:rsid w:val="00643970"/>
    <w:rsid w:val="00677EFF"/>
    <w:rsid w:val="00680981"/>
    <w:rsid w:val="006B4CA2"/>
    <w:rsid w:val="007004B8"/>
    <w:rsid w:val="007013E4"/>
    <w:rsid w:val="00755917"/>
    <w:rsid w:val="008022AE"/>
    <w:rsid w:val="00871239"/>
    <w:rsid w:val="00881FA5"/>
    <w:rsid w:val="008837CD"/>
    <w:rsid w:val="008C2755"/>
    <w:rsid w:val="0098345D"/>
    <w:rsid w:val="009877F4"/>
    <w:rsid w:val="00992EA9"/>
    <w:rsid w:val="009A52BD"/>
    <w:rsid w:val="009E7535"/>
    <w:rsid w:val="00A01DF9"/>
    <w:rsid w:val="00A32765"/>
    <w:rsid w:val="00AD76A2"/>
    <w:rsid w:val="00B33A04"/>
    <w:rsid w:val="00B566CA"/>
    <w:rsid w:val="00B813A5"/>
    <w:rsid w:val="00B94A5F"/>
    <w:rsid w:val="00BC3904"/>
    <w:rsid w:val="00BC4A2A"/>
    <w:rsid w:val="00C22404"/>
    <w:rsid w:val="00C37A31"/>
    <w:rsid w:val="00C618B6"/>
    <w:rsid w:val="00C65EC6"/>
    <w:rsid w:val="00CB7E89"/>
    <w:rsid w:val="00CE422A"/>
    <w:rsid w:val="00D135A9"/>
    <w:rsid w:val="00D17CC1"/>
    <w:rsid w:val="00D43CE4"/>
    <w:rsid w:val="00D74BC3"/>
    <w:rsid w:val="00D82FBD"/>
    <w:rsid w:val="00DD0FA9"/>
    <w:rsid w:val="00F315A2"/>
    <w:rsid w:val="00F71978"/>
    <w:rsid w:val="00F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6D0AF"/>
  <w14:defaultImageDpi w14:val="0"/>
  <w15:docId w15:val="{82E23597-2FA2-40E3-8DD3-7986C8A5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591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5917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6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9E753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37A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gis.pref.nagano.lg.jp/pref-nagano/Port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497A8-BBA7-40E2-9A23-B4460A47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長野県建設部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2021-03-29T01:18:00Z</cp:lastPrinted>
  <dcterms:created xsi:type="dcterms:W3CDTF">2021-01-15T06:21:00Z</dcterms:created>
  <dcterms:modified xsi:type="dcterms:W3CDTF">2021-03-29T01:18:00Z</dcterms:modified>
</cp:coreProperties>
</file>